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AA" w:rsidRPr="004D0357" w:rsidRDefault="003244AA" w:rsidP="003244AA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 w:rsidRPr="004D0357">
        <w:rPr>
          <w:rFonts w:asciiTheme="majorBidi" w:hAnsiTheme="majorBidi" w:cstheme="majorBidi"/>
          <w:b/>
          <w:bCs/>
          <w:sz w:val="26"/>
          <w:szCs w:val="26"/>
        </w:rPr>
        <w:t xml:space="preserve">Ministère de l’Economie et des Finances/Commission des Achats </w:t>
      </w:r>
    </w:p>
    <w:p w:rsidR="003244AA" w:rsidRPr="004D0357" w:rsidRDefault="003244AA" w:rsidP="003244AA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4D0357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AVIS </w:t>
      </w:r>
    </w:p>
    <w:p w:rsidR="003244AA" w:rsidRPr="004D0357" w:rsidRDefault="003244AA" w:rsidP="003244AA">
      <w:pPr>
        <w:spacing w:after="200" w:line="276" w:lineRule="auto"/>
        <w:rPr>
          <w:rFonts w:asciiTheme="majorBidi" w:hAnsiTheme="majorBidi" w:cstheme="majorBidi"/>
          <w:b/>
          <w:bCs/>
          <w:sz w:val="20"/>
        </w:rPr>
      </w:pPr>
      <w:r w:rsidRPr="004D0357">
        <w:rPr>
          <w:rFonts w:asciiTheme="majorBidi" w:hAnsiTheme="majorBidi" w:cstheme="majorBidi"/>
          <w:b/>
          <w:bCs/>
          <w:sz w:val="20"/>
          <w:u w:val="single"/>
        </w:rPr>
        <w:t xml:space="preserve">Réf : </w:t>
      </w:r>
      <w:r w:rsidRPr="004D0357">
        <w:rPr>
          <w:rFonts w:asciiTheme="majorBidi" w:hAnsiTheme="majorBidi" w:cstheme="majorBidi"/>
          <w:b/>
          <w:bCs/>
          <w:sz w:val="20"/>
        </w:rPr>
        <w:t xml:space="preserve">Expression de besoin du DGIPCE N° 304 en date du 11 Août 2016 </w:t>
      </w:r>
    </w:p>
    <w:p w:rsidR="003244AA" w:rsidRPr="004D0357" w:rsidRDefault="003244AA" w:rsidP="003244AA">
      <w:pPr>
        <w:pStyle w:val="Sansinterligne"/>
        <w:ind w:firstLine="708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4D0357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Le Ministère de l’Economie et des Finances, envisage le lancement d’un appel d’offre pour l’acquisition de mobilier de bureau et matériel informatique en </w:t>
      </w: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t>quatre</w:t>
      </w:r>
      <w:r w:rsidRPr="004D0357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(4) lots distincts au profit de la Direction Générale des Investissements Publics et de la Coopération Economique.</w:t>
      </w:r>
    </w:p>
    <w:p w:rsidR="003244AA" w:rsidRPr="004D0357" w:rsidRDefault="003244AA" w:rsidP="003244AA">
      <w:pPr>
        <w:jc w:val="both"/>
        <w:rPr>
          <w:rFonts w:asciiTheme="majorBidi" w:hAnsiTheme="majorBidi" w:cstheme="majorBidi"/>
          <w:b/>
          <w:bCs/>
          <w:sz w:val="20"/>
          <w:u w:val="single"/>
        </w:rPr>
      </w:pPr>
      <w:r w:rsidRPr="004D0357">
        <w:rPr>
          <w:rFonts w:asciiTheme="majorBidi" w:hAnsiTheme="majorBidi" w:cstheme="majorBidi"/>
          <w:b/>
          <w:bCs/>
          <w:sz w:val="20"/>
          <w:u w:val="single"/>
        </w:rPr>
        <w:t>1</w:t>
      </w:r>
      <w:r w:rsidRPr="004D0357">
        <w:rPr>
          <w:rFonts w:asciiTheme="majorBidi" w:hAnsiTheme="majorBidi" w:cstheme="majorBidi"/>
          <w:b/>
          <w:bCs/>
          <w:sz w:val="20"/>
          <w:u w:val="single"/>
          <w:vertAlign w:val="superscript"/>
        </w:rPr>
        <w:t>er</w:t>
      </w:r>
      <w:r w:rsidRPr="004D0357">
        <w:rPr>
          <w:rFonts w:asciiTheme="majorBidi" w:hAnsiTheme="majorBidi" w:cstheme="majorBidi"/>
          <w:b/>
          <w:bCs/>
          <w:sz w:val="20"/>
          <w:u w:val="single"/>
        </w:rPr>
        <w:t xml:space="preserve"> LOT : Mobilier de bureau pour le Directeur Général Adjoint</w:t>
      </w:r>
    </w:p>
    <w:tbl>
      <w:tblPr>
        <w:tblStyle w:val="Grilledutableau"/>
        <w:tblW w:w="0" w:type="auto"/>
        <w:tblLook w:val="04A0"/>
      </w:tblPr>
      <w:tblGrid>
        <w:gridCol w:w="2321"/>
        <w:gridCol w:w="1048"/>
        <w:gridCol w:w="2388"/>
        <w:gridCol w:w="1439"/>
        <w:gridCol w:w="2092"/>
      </w:tblGrid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Désignation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Quantité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Spécifications </w:t>
            </w:r>
          </w:p>
        </w:tc>
        <w:tc>
          <w:tcPr>
            <w:tcW w:w="1439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Financement</w:t>
            </w:r>
          </w:p>
        </w:tc>
        <w:tc>
          <w:tcPr>
            <w:tcW w:w="2092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Entité Bénéficiaire </w:t>
            </w: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Bureau avec retour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2m  </w:t>
            </w:r>
          </w:p>
        </w:tc>
        <w:tc>
          <w:tcPr>
            <w:tcW w:w="1439" w:type="dxa"/>
            <w:vMerge w:val="restart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Budget  DGIPCE</w:t>
            </w:r>
          </w:p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2016</w:t>
            </w:r>
          </w:p>
        </w:tc>
        <w:tc>
          <w:tcPr>
            <w:tcW w:w="2092" w:type="dxa"/>
            <w:vMerge w:val="restart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DGIPCE</w:t>
            </w:r>
          </w:p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Fauteuil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Chaise visiteurs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02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Salon + table basse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Porte manteau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Bibliothèque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03 portes </w:t>
            </w:r>
          </w:p>
        </w:tc>
        <w:tc>
          <w:tcPr>
            <w:tcW w:w="1439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3244AA" w:rsidRPr="004D0357" w:rsidRDefault="003244AA" w:rsidP="003244AA">
      <w:pPr>
        <w:jc w:val="both"/>
        <w:rPr>
          <w:rFonts w:asciiTheme="majorBidi" w:hAnsiTheme="majorBidi" w:cstheme="majorBidi"/>
          <w:b/>
          <w:bCs/>
          <w:sz w:val="20"/>
          <w:u w:val="single"/>
        </w:rPr>
      </w:pPr>
      <w:r w:rsidRPr="004D0357">
        <w:rPr>
          <w:rFonts w:asciiTheme="majorBidi" w:hAnsiTheme="majorBidi" w:cstheme="majorBidi"/>
          <w:b/>
          <w:bCs/>
          <w:sz w:val="20"/>
          <w:u w:val="single"/>
        </w:rPr>
        <w:t>2</w:t>
      </w:r>
      <w:r w:rsidRPr="004D0357">
        <w:rPr>
          <w:rFonts w:asciiTheme="majorBidi" w:hAnsiTheme="majorBidi" w:cstheme="majorBidi"/>
          <w:b/>
          <w:bCs/>
          <w:sz w:val="20"/>
          <w:u w:val="single"/>
          <w:vertAlign w:val="superscript"/>
        </w:rPr>
        <w:t>e</w:t>
      </w:r>
      <w:r w:rsidRPr="004D0357">
        <w:rPr>
          <w:rFonts w:asciiTheme="majorBidi" w:hAnsiTheme="majorBidi" w:cstheme="majorBidi"/>
          <w:b/>
          <w:bCs/>
          <w:sz w:val="20"/>
          <w:u w:val="single"/>
        </w:rPr>
        <w:t xml:space="preserve">  LOT : Matériel informatique pour le Directeur Général Adjoint</w:t>
      </w:r>
    </w:p>
    <w:tbl>
      <w:tblPr>
        <w:tblStyle w:val="Grilledutableau"/>
        <w:tblW w:w="0" w:type="auto"/>
        <w:tblLook w:val="04A0"/>
      </w:tblPr>
      <w:tblGrid>
        <w:gridCol w:w="2077"/>
        <w:gridCol w:w="1048"/>
        <w:gridCol w:w="3250"/>
        <w:gridCol w:w="1439"/>
        <w:gridCol w:w="1474"/>
      </w:tblGrid>
      <w:tr w:rsidR="003244AA" w:rsidRPr="004D0357" w:rsidTr="003E55D9">
        <w:tc>
          <w:tcPr>
            <w:tcW w:w="2077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Désignation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Quantité</w:t>
            </w:r>
          </w:p>
        </w:tc>
        <w:tc>
          <w:tcPr>
            <w:tcW w:w="3250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Spécifications </w:t>
            </w:r>
          </w:p>
        </w:tc>
        <w:tc>
          <w:tcPr>
            <w:tcW w:w="1439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Financement</w:t>
            </w:r>
          </w:p>
        </w:tc>
        <w:tc>
          <w:tcPr>
            <w:tcW w:w="1474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Entité Bénéficiaire </w:t>
            </w:r>
          </w:p>
        </w:tc>
      </w:tr>
      <w:tr w:rsidR="003244AA" w:rsidRPr="004D0357" w:rsidTr="003E55D9">
        <w:tc>
          <w:tcPr>
            <w:tcW w:w="2077" w:type="dxa"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 xml:space="preserve">Imprimante multifonction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>01</w:t>
            </w:r>
          </w:p>
        </w:tc>
        <w:tc>
          <w:tcPr>
            <w:tcW w:w="3250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1439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Budget  </w:t>
            </w:r>
            <w:r>
              <w:rPr>
                <w:rFonts w:asciiTheme="majorBidi" w:hAnsiTheme="majorBidi" w:cstheme="majorBidi"/>
                <w:sz w:val="20"/>
              </w:rPr>
              <w:t>B</w:t>
            </w:r>
            <w:r w:rsidRPr="004D0357">
              <w:rPr>
                <w:rFonts w:asciiTheme="majorBidi" w:hAnsiTheme="majorBidi" w:cstheme="majorBidi"/>
                <w:sz w:val="20"/>
              </w:rPr>
              <w:t>GIPCE2016</w:t>
            </w:r>
          </w:p>
        </w:tc>
        <w:tc>
          <w:tcPr>
            <w:tcW w:w="1474" w:type="dxa"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DGIPCE</w:t>
            </w:r>
          </w:p>
        </w:tc>
      </w:tr>
    </w:tbl>
    <w:p w:rsidR="003244AA" w:rsidRDefault="003244AA" w:rsidP="003244AA">
      <w:pPr>
        <w:jc w:val="both"/>
        <w:rPr>
          <w:rFonts w:asciiTheme="majorBidi" w:hAnsiTheme="majorBidi" w:cstheme="majorBidi"/>
          <w:b/>
          <w:bCs/>
          <w:sz w:val="20"/>
          <w:u w:val="single"/>
        </w:rPr>
      </w:pPr>
    </w:p>
    <w:p w:rsidR="003244AA" w:rsidRPr="004D0357" w:rsidRDefault="003244AA" w:rsidP="003244AA">
      <w:pPr>
        <w:jc w:val="both"/>
        <w:rPr>
          <w:rFonts w:asciiTheme="majorBidi" w:hAnsiTheme="majorBidi" w:cstheme="majorBidi"/>
          <w:b/>
          <w:bCs/>
          <w:sz w:val="20"/>
          <w:u w:val="single"/>
        </w:rPr>
      </w:pPr>
      <w:r w:rsidRPr="004D0357">
        <w:rPr>
          <w:rFonts w:asciiTheme="majorBidi" w:hAnsiTheme="majorBidi" w:cstheme="majorBidi"/>
          <w:b/>
          <w:bCs/>
          <w:sz w:val="20"/>
          <w:u w:val="single"/>
        </w:rPr>
        <w:t>3</w:t>
      </w:r>
      <w:r w:rsidRPr="004D0357">
        <w:rPr>
          <w:rFonts w:asciiTheme="majorBidi" w:hAnsiTheme="majorBidi" w:cstheme="majorBidi"/>
          <w:b/>
          <w:bCs/>
          <w:sz w:val="20"/>
          <w:u w:val="single"/>
          <w:vertAlign w:val="superscript"/>
        </w:rPr>
        <w:t>er</w:t>
      </w:r>
      <w:r w:rsidRPr="004D0357">
        <w:rPr>
          <w:rFonts w:asciiTheme="majorBidi" w:hAnsiTheme="majorBidi" w:cstheme="majorBidi"/>
          <w:b/>
          <w:bCs/>
          <w:sz w:val="20"/>
          <w:u w:val="single"/>
        </w:rPr>
        <w:t xml:space="preserve"> LOT : Mobilier de bureau pour le Directeur Adjoint des Conventions de Financement </w:t>
      </w:r>
    </w:p>
    <w:tbl>
      <w:tblPr>
        <w:tblStyle w:val="Grilledutableau"/>
        <w:tblW w:w="0" w:type="auto"/>
        <w:tblLook w:val="04A0"/>
      </w:tblPr>
      <w:tblGrid>
        <w:gridCol w:w="2321"/>
        <w:gridCol w:w="1048"/>
        <w:gridCol w:w="2388"/>
        <w:gridCol w:w="1439"/>
        <w:gridCol w:w="2092"/>
      </w:tblGrid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Désignation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Quantité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Spécifications </w:t>
            </w:r>
          </w:p>
        </w:tc>
        <w:tc>
          <w:tcPr>
            <w:tcW w:w="1439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Financement</w:t>
            </w:r>
          </w:p>
        </w:tc>
        <w:tc>
          <w:tcPr>
            <w:tcW w:w="2092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Entité Bénéficiaire </w:t>
            </w: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Bureau avec retour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2m  </w:t>
            </w:r>
          </w:p>
        </w:tc>
        <w:tc>
          <w:tcPr>
            <w:tcW w:w="1439" w:type="dxa"/>
            <w:vMerge w:val="restart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Budget  DGIPCE</w:t>
            </w:r>
          </w:p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2016</w:t>
            </w:r>
          </w:p>
        </w:tc>
        <w:tc>
          <w:tcPr>
            <w:tcW w:w="2092" w:type="dxa"/>
            <w:vMerge w:val="restart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DGIPCE</w:t>
            </w:r>
          </w:p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Fauteuil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Chaise visiteurs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02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Salon + table basse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Porte manteau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321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Bibliothèque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02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portes </w:t>
            </w:r>
          </w:p>
        </w:tc>
        <w:tc>
          <w:tcPr>
            <w:tcW w:w="1439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3244AA" w:rsidRPr="004D0357" w:rsidRDefault="003244AA" w:rsidP="003244AA">
      <w:pPr>
        <w:jc w:val="both"/>
        <w:rPr>
          <w:rFonts w:asciiTheme="majorBidi" w:hAnsiTheme="majorBidi" w:cstheme="majorBidi"/>
          <w:b/>
          <w:bCs/>
          <w:sz w:val="20"/>
          <w:u w:val="single"/>
        </w:rPr>
      </w:pPr>
      <w:r w:rsidRPr="004D0357">
        <w:rPr>
          <w:rFonts w:asciiTheme="majorBidi" w:hAnsiTheme="majorBidi" w:cstheme="majorBidi"/>
          <w:b/>
          <w:bCs/>
          <w:sz w:val="20"/>
          <w:u w:val="single"/>
        </w:rPr>
        <w:t>4</w:t>
      </w:r>
      <w:r w:rsidRPr="004D0357">
        <w:rPr>
          <w:rFonts w:asciiTheme="majorBidi" w:hAnsiTheme="majorBidi" w:cstheme="majorBidi"/>
          <w:b/>
          <w:bCs/>
          <w:sz w:val="20"/>
          <w:u w:val="single"/>
          <w:vertAlign w:val="superscript"/>
        </w:rPr>
        <w:t>e</w:t>
      </w:r>
      <w:r w:rsidRPr="004D0357">
        <w:rPr>
          <w:rFonts w:asciiTheme="majorBidi" w:hAnsiTheme="majorBidi" w:cstheme="majorBidi"/>
          <w:b/>
          <w:bCs/>
          <w:sz w:val="20"/>
          <w:u w:val="single"/>
        </w:rPr>
        <w:t xml:space="preserve">  LOT : Matériel informatique pour le Directeur Adjoint des Conventions de Financement</w:t>
      </w:r>
    </w:p>
    <w:tbl>
      <w:tblPr>
        <w:tblStyle w:val="Grilledutableau"/>
        <w:tblW w:w="0" w:type="auto"/>
        <w:tblLook w:val="04A0"/>
      </w:tblPr>
      <w:tblGrid>
        <w:gridCol w:w="2077"/>
        <w:gridCol w:w="1048"/>
        <w:gridCol w:w="3250"/>
        <w:gridCol w:w="1439"/>
        <w:gridCol w:w="1474"/>
      </w:tblGrid>
      <w:tr w:rsidR="003244AA" w:rsidRPr="004D0357" w:rsidTr="003E55D9">
        <w:tc>
          <w:tcPr>
            <w:tcW w:w="2077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Désignation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Quantité</w:t>
            </w:r>
          </w:p>
        </w:tc>
        <w:tc>
          <w:tcPr>
            <w:tcW w:w="3250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Spécifications </w:t>
            </w:r>
          </w:p>
        </w:tc>
        <w:tc>
          <w:tcPr>
            <w:tcW w:w="1439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Financement</w:t>
            </w:r>
          </w:p>
        </w:tc>
        <w:tc>
          <w:tcPr>
            <w:tcW w:w="1474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Entité Bénéficiaire </w:t>
            </w:r>
          </w:p>
        </w:tc>
      </w:tr>
      <w:tr w:rsidR="003244AA" w:rsidRPr="004D0357" w:rsidTr="003E55D9">
        <w:tc>
          <w:tcPr>
            <w:tcW w:w="2077" w:type="dxa"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 xml:space="preserve">Unité informatique complète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>01</w:t>
            </w:r>
          </w:p>
        </w:tc>
        <w:tc>
          <w:tcPr>
            <w:tcW w:w="3250" w:type="dxa"/>
          </w:tcPr>
          <w:p w:rsidR="003244AA" w:rsidRPr="004D0357" w:rsidRDefault="0082275A" w:rsidP="0082275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SE </w:t>
            </w:r>
            <w:proofErr w:type="gramStart"/>
            <w:r>
              <w:rPr>
                <w:rFonts w:asciiTheme="majorBidi" w:hAnsiTheme="majorBidi" w:cstheme="majorBidi"/>
                <w:bCs/>
                <w:sz w:val="20"/>
              </w:rPr>
              <w:t>: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</w:rPr>
              <w:t>windows</w:t>
            </w:r>
            <w:proofErr w:type="spellEnd"/>
            <w:proofErr w:type="gramEnd"/>
            <w:r>
              <w:rPr>
                <w:rFonts w:asciiTheme="majorBidi" w:hAnsiTheme="majorBidi" w:cstheme="majorBidi"/>
                <w:bCs/>
                <w:sz w:val="20"/>
              </w:rPr>
              <w:t xml:space="preserve"> </w:t>
            </w:r>
            <w:r w:rsidR="003244AA" w:rsidRPr="004D0357">
              <w:rPr>
                <w:rFonts w:asciiTheme="majorBidi" w:hAnsiTheme="majorBidi" w:cstheme="majorBidi"/>
                <w:bCs/>
                <w:sz w:val="20"/>
              </w:rPr>
              <w:t xml:space="preserve">7 </w:t>
            </w:r>
            <w:r>
              <w:rPr>
                <w:rFonts w:asciiTheme="majorBidi" w:hAnsiTheme="majorBidi" w:cstheme="majorBidi"/>
                <w:bCs/>
                <w:sz w:val="20"/>
              </w:rPr>
              <w:t>32</w:t>
            </w:r>
            <w:r w:rsidR="003244AA" w:rsidRPr="004D0357">
              <w:rPr>
                <w:rFonts w:asciiTheme="majorBidi" w:hAnsiTheme="majorBidi" w:cstheme="majorBidi"/>
                <w:bCs/>
                <w:sz w:val="20"/>
              </w:rPr>
              <w:t xml:space="preserve">bits origine </w:t>
            </w:r>
          </w:p>
          <w:p w:rsidR="003244AA" w:rsidRPr="004D0357" w:rsidRDefault="003244AA" w:rsidP="003244A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0"/>
              </w:rPr>
            </w:pPr>
            <w:proofErr w:type="spellStart"/>
            <w:r w:rsidRPr="004D0357">
              <w:rPr>
                <w:rFonts w:asciiTheme="majorBidi" w:hAnsiTheme="majorBidi" w:cstheme="majorBidi"/>
                <w:bCs/>
                <w:sz w:val="20"/>
              </w:rPr>
              <w:t>Micrososft</w:t>
            </w:r>
            <w:proofErr w:type="spellEnd"/>
            <w:r w:rsidRPr="004D0357">
              <w:rPr>
                <w:rFonts w:asciiTheme="majorBidi" w:hAnsiTheme="majorBidi" w:cstheme="majorBidi"/>
                <w:bCs/>
                <w:sz w:val="20"/>
              </w:rPr>
              <w:t xml:space="preserve"> office PR 2013 origine </w:t>
            </w:r>
          </w:p>
          <w:p w:rsidR="003244AA" w:rsidRPr="004D0357" w:rsidRDefault="003244AA" w:rsidP="003244A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 xml:space="preserve">Antivirus 1an </w:t>
            </w:r>
          </w:p>
          <w:p w:rsidR="003244AA" w:rsidRPr="004D0357" w:rsidRDefault="003244AA" w:rsidP="0082275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 xml:space="preserve">Processeur </w:t>
            </w:r>
            <w:proofErr w:type="spellStart"/>
            <w:r w:rsidRPr="004D0357">
              <w:rPr>
                <w:rFonts w:asciiTheme="majorBidi" w:hAnsiTheme="majorBidi" w:cstheme="majorBidi"/>
                <w:bCs/>
                <w:sz w:val="20"/>
              </w:rPr>
              <w:t>intel</w:t>
            </w:r>
            <w:proofErr w:type="spellEnd"/>
            <w:r w:rsidR="0082275A">
              <w:rPr>
                <w:rFonts w:asciiTheme="majorBidi" w:hAnsiTheme="majorBidi" w:cstheme="majorBidi"/>
                <w:bCs/>
                <w:sz w:val="20"/>
              </w:rPr>
              <w:t xml:space="preserve"> </w:t>
            </w:r>
            <w:proofErr w:type="spellStart"/>
            <w:r w:rsidRPr="004D0357">
              <w:rPr>
                <w:rFonts w:asciiTheme="majorBidi" w:hAnsiTheme="majorBidi" w:cstheme="majorBidi"/>
                <w:bCs/>
                <w:sz w:val="20"/>
              </w:rPr>
              <w:t>core</w:t>
            </w:r>
            <w:proofErr w:type="spellEnd"/>
            <w:r w:rsidRPr="004D0357">
              <w:rPr>
                <w:rFonts w:asciiTheme="majorBidi" w:hAnsiTheme="majorBidi" w:cstheme="majorBidi"/>
                <w:bCs/>
                <w:sz w:val="20"/>
              </w:rPr>
              <w:t xml:space="preserve"> </w:t>
            </w:r>
            <w:r w:rsidR="0082275A">
              <w:rPr>
                <w:rFonts w:asciiTheme="majorBidi" w:hAnsiTheme="majorBidi" w:cstheme="majorBidi"/>
                <w:bCs/>
                <w:sz w:val="20"/>
              </w:rPr>
              <w:t>i</w:t>
            </w:r>
            <w:r w:rsidRPr="004D0357">
              <w:rPr>
                <w:rFonts w:asciiTheme="majorBidi" w:hAnsiTheme="majorBidi" w:cstheme="majorBidi"/>
                <w:bCs/>
                <w:sz w:val="20"/>
              </w:rPr>
              <w:t>5</w:t>
            </w:r>
          </w:p>
          <w:p w:rsidR="003244AA" w:rsidRPr="004D0357" w:rsidRDefault="003244AA" w:rsidP="003244A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>Disque dur 500G</w:t>
            </w:r>
          </w:p>
          <w:p w:rsidR="003244AA" w:rsidRPr="004D0357" w:rsidRDefault="003244AA" w:rsidP="003244A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>Ram 8 ou 4G</w:t>
            </w:r>
          </w:p>
          <w:p w:rsidR="003244AA" w:rsidRPr="004D0357" w:rsidRDefault="003244AA" w:rsidP="003244A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Clavier </w:t>
            </w:r>
            <w:r w:rsidRPr="004D0357">
              <w:rPr>
                <w:rFonts w:asciiTheme="majorBidi" w:hAnsiTheme="majorBidi" w:cstheme="majorBidi"/>
                <w:bCs/>
                <w:sz w:val="20"/>
              </w:rPr>
              <w:t>AZERTY</w:t>
            </w:r>
          </w:p>
          <w:p w:rsidR="003244AA" w:rsidRDefault="003244AA" w:rsidP="003244A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Souris  </w:t>
            </w:r>
          </w:p>
          <w:p w:rsidR="003244AA" w:rsidRPr="00957118" w:rsidRDefault="003244AA" w:rsidP="003244A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 xml:space="preserve"> Lecteur DVD-/+RW</w:t>
            </w:r>
          </w:p>
        </w:tc>
        <w:tc>
          <w:tcPr>
            <w:tcW w:w="1439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Budget  DGIPCE</w:t>
            </w:r>
          </w:p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2016</w:t>
            </w:r>
          </w:p>
        </w:tc>
        <w:tc>
          <w:tcPr>
            <w:tcW w:w="1474" w:type="dxa"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3244AA" w:rsidRPr="004D0357" w:rsidTr="003E55D9">
        <w:tc>
          <w:tcPr>
            <w:tcW w:w="2077" w:type="dxa"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 xml:space="preserve">Imprimante multifonction </w:t>
            </w:r>
          </w:p>
        </w:tc>
        <w:tc>
          <w:tcPr>
            <w:tcW w:w="1048" w:type="dxa"/>
          </w:tcPr>
          <w:p w:rsidR="003244AA" w:rsidRPr="004D0357" w:rsidRDefault="003244AA" w:rsidP="003E55D9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>01</w:t>
            </w:r>
          </w:p>
        </w:tc>
        <w:tc>
          <w:tcPr>
            <w:tcW w:w="3250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1439" w:type="dxa"/>
          </w:tcPr>
          <w:p w:rsidR="003244AA" w:rsidRPr="004D0357" w:rsidRDefault="003244AA" w:rsidP="003E55D9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Budget  DGIPCE2016</w:t>
            </w:r>
          </w:p>
        </w:tc>
        <w:tc>
          <w:tcPr>
            <w:tcW w:w="1474" w:type="dxa"/>
          </w:tcPr>
          <w:p w:rsidR="003244AA" w:rsidRPr="004D0357" w:rsidRDefault="003244AA" w:rsidP="003E55D9">
            <w:pPr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DGIPCE</w:t>
            </w:r>
          </w:p>
        </w:tc>
      </w:tr>
    </w:tbl>
    <w:p w:rsidR="003244AA" w:rsidRDefault="003244AA" w:rsidP="003244AA">
      <w:pPr>
        <w:jc w:val="both"/>
        <w:rPr>
          <w:rFonts w:asciiTheme="majorBidi" w:hAnsiTheme="majorBidi" w:cstheme="majorBidi"/>
          <w:sz w:val="20"/>
        </w:rPr>
      </w:pPr>
    </w:p>
    <w:p w:rsidR="003244AA" w:rsidRPr="004D0357" w:rsidRDefault="003244AA" w:rsidP="003244AA">
      <w:pPr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Les offres de biens</w:t>
      </w:r>
      <w:r w:rsidRPr="004D0357">
        <w:rPr>
          <w:rFonts w:asciiTheme="majorBidi" w:hAnsiTheme="majorBidi" w:cstheme="majorBidi"/>
          <w:sz w:val="20"/>
        </w:rPr>
        <w:t xml:space="preserve"> doivent être assorties des spécifications proposées et de la date de livraison.</w:t>
      </w:r>
    </w:p>
    <w:p w:rsidR="003244AA" w:rsidRPr="004D0357" w:rsidRDefault="003244AA" w:rsidP="003244AA">
      <w:pPr>
        <w:jc w:val="both"/>
        <w:rPr>
          <w:rFonts w:asciiTheme="majorBidi" w:hAnsiTheme="majorBidi" w:cstheme="majorBidi"/>
          <w:sz w:val="20"/>
        </w:rPr>
      </w:pPr>
      <w:r w:rsidRPr="004D0357">
        <w:rPr>
          <w:rFonts w:asciiTheme="majorBidi" w:hAnsiTheme="majorBidi" w:cstheme="majorBidi"/>
          <w:sz w:val="20"/>
        </w:rPr>
        <w:t xml:space="preserve">Les prestataires intéressés peuvent déposer leurs offres à la Direction des Affaires Administratives et Financières et la date limite de dépôt des offres est prévue le </w:t>
      </w:r>
      <w:r w:rsidRPr="004D0357">
        <w:rPr>
          <w:rFonts w:asciiTheme="majorBidi" w:hAnsiTheme="majorBidi" w:cstheme="majorBidi"/>
          <w:b/>
          <w:bCs/>
          <w:sz w:val="20"/>
        </w:rPr>
        <w:t>Lundi 17 Octobre 2016</w:t>
      </w:r>
      <w:r w:rsidRPr="004D0357">
        <w:rPr>
          <w:rFonts w:asciiTheme="majorBidi" w:hAnsiTheme="majorBidi" w:cstheme="majorBidi"/>
          <w:sz w:val="20"/>
        </w:rPr>
        <w:t xml:space="preserve">. </w:t>
      </w:r>
    </w:p>
    <w:p w:rsidR="003244AA" w:rsidRPr="004D0357" w:rsidRDefault="003244AA" w:rsidP="003244AA">
      <w:pPr>
        <w:jc w:val="both"/>
        <w:rPr>
          <w:rFonts w:asciiTheme="majorBidi" w:hAnsiTheme="majorBidi" w:cstheme="majorBidi"/>
          <w:sz w:val="20"/>
        </w:rPr>
      </w:pPr>
      <w:r w:rsidRPr="004D0357">
        <w:rPr>
          <w:rFonts w:asciiTheme="majorBidi" w:hAnsiTheme="majorBidi" w:cstheme="majorBidi"/>
          <w:sz w:val="20"/>
        </w:rPr>
        <w:t xml:space="preserve">L’ouverture des offres est prévue le même jour  par la Commission d’Achat du MEF à </w:t>
      </w:r>
      <w:r w:rsidRPr="004D0357">
        <w:rPr>
          <w:rFonts w:asciiTheme="majorBidi" w:hAnsiTheme="majorBidi" w:cstheme="majorBidi"/>
          <w:b/>
          <w:bCs/>
          <w:sz w:val="20"/>
        </w:rPr>
        <w:t>12h00mn</w:t>
      </w:r>
      <w:r w:rsidRPr="004D0357">
        <w:rPr>
          <w:rFonts w:asciiTheme="majorBidi" w:hAnsiTheme="majorBidi" w:cstheme="majorBidi"/>
          <w:sz w:val="20"/>
        </w:rPr>
        <w:t xml:space="preserve">  au sein de l’immeuble du MEF en présence des fournisseurs qui le désirent. </w:t>
      </w:r>
    </w:p>
    <w:p w:rsidR="003244AA" w:rsidRPr="004D0357" w:rsidRDefault="003244AA" w:rsidP="003244AA">
      <w:pPr>
        <w:jc w:val="both"/>
        <w:rPr>
          <w:rFonts w:asciiTheme="majorBidi" w:hAnsiTheme="majorBidi" w:cstheme="majorBidi"/>
          <w:b/>
          <w:bCs/>
          <w:szCs w:val="24"/>
        </w:rPr>
      </w:pPr>
      <w:r w:rsidRPr="004D0357">
        <w:rPr>
          <w:rFonts w:asciiTheme="majorBidi" w:hAnsiTheme="majorBidi" w:cstheme="majorBidi"/>
          <w:b/>
          <w:bCs/>
          <w:szCs w:val="24"/>
          <w:u w:val="single"/>
        </w:rPr>
        <w:t>NB</w:t>
      </w:r>
      <w:r w:rsidRPr="004D0357">
        <w:rPr>
          <w:rFonts w:asciiTheme="majorBidi" w:hAnsiTheme="majorBidi" w:cstheme="majorBidi"/>
          <w:b/>
          <w:bCs/>
          <w:szCs w:val="24"/>
        </w:rPr>
        <w:t xml:space="preserve"> : </w:t>
      </w:r>
      <w:r w:rsidRPr="004D0357">
        <w:rPr>
          <w:rFonts w:asciiTheme="majorBidi" w:hAnsiTheme="majorBidi" w:cstheme="majorBidi"/>
          <w:b/>
          <w:bCs/>
          <w:sz w:val="22"/>
          <w:szCs w:val="22"/>
        </w:rPr>
        <w:t xml:space="preserve">les offres parvenues après 12h00mn le </w:t>
      </w:r>
      <w:r w:rsidRPr="004D0357">
        <w:rPr>
          <w:rFonts w:asciiTheme="majorBidi" w:hAnsiTheme="majorBidi" w:cstheme="majorBidi"/>
          <w:b/>
          <w:bCs/>
          <w:sz w:val="20"/>
        </w:rPr>
        <w:t xml:space="preserve">Lundi 17 Octobre 2016 </w:t>
      </w:r>
      <w:r w:rsidRPr="004D0357">
        <w:rPr>
          <w:rFonts w:asciiTheme="majorBidi" w:hAnsiTheme="majorBidi" w:cstheme="majorBidi"/>
          <w:b/>
          <w:bCs/>
          <w:sz w:val="22"/>
          <w:szCs w:val="22"/>
        </w:rPr>
        <w:t>sont irrecevables</w:t>
      </w:r>
      <w:r w:rsidRPr="004D0357">
        <w:rPr>
          <w:rFonts w:asciiTheme="majorBidi" w:hAnsiTheme="majorBidi" w:cstheme="majorBidi"/>
          <w:b/>
          <w:bCs/>
          <w:szCs w:val="24"/>
        </w:rPr>
        <w:t>.</w:t>
      </w:r>
    </w:p>
    <w:p w:rsidR="003244AA" w:rsidRPr="004D0357" w:rsidRDefault="003244AA" w:rsidP="003244AA">
      <w:pPr>
        <w:jc w:val="both"/>
        <w:rPr>
          <w:rFonts w:asciiTheme="majorBidi" w:hAnsiTheme="majorBidi" w:cstheme="majorBidi"/>
          <w:b/>
          <w:bCs/>
          <w:sz w:val="20"/>
        </w:rPr>
      </w:pPr>
    </w:p>
    <w:p w:rsidR="003244AA" w:rsidRPr="00957118" w:rsidRDefault="003244AA" w:rsidP="003244AA">
      <w:pPr>
        <w:jc w:val="center"/>
        <w:rPr>
          <w:rFonts w:asciiTheme="majorBidi" w:hAnsiTheme="majorBidi" w:cstheme="majorBidi"/>
          <w:b/>
          <w:bCs/>
          <w:sz w:val="20"/>
        </w:rPr>
      </w:pPr>
      <w:r w:rsidRPr="00957118">
        <w:rPr>
          <w:rFonts w:asciiTheme="majorBidi" w:hAnsiTheme="majorBidi" w:cstheme="majorBidi"/>
          <w:b/>
          <w:bCs/>
          <w:sz w:val="20"/>
        </w:rPr>
        <w:t>Nouakchott le 11/10/2016</w:t>
      </w:r>
    </w:p>
    <w:p w:rsidR="003244AA" w:rsidRPr="004D0357" w:rsidRDefault="003244AA" w:rsidP="003244AA">
      <w:pPr>
        <w:jc w:val="center"/>
        <w:rPr>
          <w:rFonts w:asciiTheme="majorBidi" w:hAnsiTheme="majorBidi" w:cstheme="majorBidi"/>
          <w:sz w:val="20"/>
        </w:rPr>
      </w:pPr>
      <w:r w:rsidRPr="004D0357">
        <w:rPr>
          <w:rFonts w:asciiTheme="majorBidi" w:hAnsiTheme="majorBidi" w:cstheme="majorBidi"/>
          <w:sz w:val="20"/>
        </w:rPr>
        <w:t>Le Vise Président de la Commission des Achats du MEF</w:t>
      </w:r>
    </w:p>
    <w:p w:rsidR="00FF2C88" w:rsidRPr="003244AA" w:rsidRDefault="003244AA" w:rsidP="003244AA">
      <w:pPr>
        <w:jc w:val="center"/>
        <w:rPr>
          <w:rFonts w:asciiTheme="majorBidi" w:hAnsiTheme="majorBidi" w:cstheme="majorBidi"/>
          <w:sz w:val="20"/>
        </w:rPr>
      </w:pPr>
      <w:r w:rsidRPr="004D0357">
        <w:rPr>
          <w:rFonts w:asciiTheme="majorBidi" w:hAnsiTheme="majorBidi" w:cstheme="majorBidi"/>
          <w:b/>
          <w:bCs/>
          <w:sz w:val="20"/>
        </w:rPr>
        <w:lastRenderedPageBreak/>
        <w:t xml:space="preserve">Brahim </w:t>
      </w:r>
      <w:proofErr w:type="spellStart"/>
      <w:r w:rsidRPr="004D0357">
        <w:rPr>
          <w:rFonts w:asciiTheme="majorBidi" w:hAnsiTheme="majorBidi" w:cstheme="majorBidi"/>
          <w:b/>
          <w:bCs/>
          <w:sz w:val="20"/>
        </w:rPr>
        <w:t>Ould</w:t>
      </w:r>
      <w:proofErr w:type="spellEnd"/>
      <w:r w:rsidRPr="004D0357">
        <w:rPr>
          <w:rFonts w:asciiTheme="majorBidi" w:hAnsiTheme="majorBidi" w:cstheme="majorBidi"/>
          <w:b/>
          <w:bCs/>
          <w:sz w:val="20"/>
        </w:rPr>
        <w:t xml:space="preserve"> SIDATY </w:t>
      </w:r>
    </w:p>
    <w:sectPr w:rsidR="00FF2C88" w:rsidRPr="003244AA" w:rsidSect="00AB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56FC"/>
    <w:multiLevelType w:val="hybridMultilevel"/>
    <w:tmpl w:val="8BD0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3244AA"/>
    <w:rsid w:val="003244AA"/>
    <w:rsid w:val="0082275A"/>
    <w:rsid w:val="00884E60"/>
    <w:rsid w:val="00B50D98"/>
    <w:rsid w:val="00FF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44AA"/>
    <w:pPr>
      <w:spacing w:after="0" w:line="240" w:lineRule="auto"/>
    </w:pPr>
    <w:rPr>
      <w:rFonts w:ascii="Calibri" w:eastAsia="Calibri" w:hAnsi="Calibri" w:cs="Arial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244AA"/>
    <w:pPr>
      <w:spacing w:after="0" w:line="240" w:lineRule="auto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32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44AA"/>
    <w:pPr>
      <w:spacing w:after="0" w:line="240" w:lineRule="auto"/>
    </w:pPr>
    <w:rPr>
      <w:rFonts w:ascii="Calibri" w:eastAsia="Calibri" w:hAnsi="Calibri" w:cs="Arial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3244AA"/>
    <w:pPr>
      <w:spacing w:after="0" w:line="240" w:lineRule="auto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32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BDD_GRH_2015</cp:lastModifiedBy>
  <cp:revision>3</cp:revision>
  <dcterms:created xsi:type="dcterms:W3CDTF">2016-10-11T10:11:00Z</dcterms:created>
  <dcterms:modified xsi:type="dcterms:W3CDTF">2016-10-11T10:20:00Z</dcterms:modified>
</cp:coreProperties>
</file>