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A" w:rsidRPr="008B182A" w:rsidRDefault="008B182A" w:rsidP="008B182A">
      <w:pPr>
        <w:pStyle w:val="Sansinterligne"/>
        <w:jc w:val="center"/>
        <w:rPr>
          <w:rFonts w:asciiTheme="majorBidi" w:hAnsiTheme="majorBidi" w:cstheme="majorBidi"/>
          <w:b/>
          <w:bCs/>
          <w:lang w:eastAsia="fr-FR"/>
        </w:rPr>
      </w:pPr>
      <w:r w:rsidRPr="008B182A">
        <w:rPr>
          <w:rFonts w:asciiTheme="majorBidi" w:hAnsiTheme="majorBidi" w:cstheme="majorBidi"/>
          <w:b/>
          <w:bCs/>
          <w:lang w:eastAsia="fr-FR"/>
        </w:rPr>
        <w:t>REPUBLIQUE ISLAMIQUE DE MAURITANIE</w:t>
      </w:r>
    </w:p>
    <w:p w:rsidR="008B182A" w:rsidRPr="008B182A" w:rsidRDefault="008B182A" w:rsidP="008B182A">
      <w:pPr>
        <w:pStyle w:val="Sansinterligne"/>
        <w:jc w:val="center"/>
        <w:rPr>
          <w:rFonts w:asciiTheme="majorBidi" w:hAnsiTheme="majorBidi" w:cstheme="majorBidi"/>
          <w:b/>
          <w:bCs/>
          <w:lang w:eastAsia="fr-FR"/>
        </w:rPr>
      </w:pPr>
      <w:r w:rsidRPr="008B182A">
        <w:rPr>
          <w:rFonts w:asciiTheme="majorBidi" w:hAnsiTheme="majorBidi" w:cstheme="majorBidi"/>
          <w:b/>
          <w:bCs/>
          <w:lang w:eastAsia="fr-FR"/>
        </w:rPr>
        <w:t>Honneur-</w:t>
      </w:r>
      <w:proofErr w:type="spellStart"/>
      <w:r w:rsidRPr="008B182A">
        <w:rPr>
          <w:rFonts w:asciiTheme="majorBidi" w:hAnsiTheme="majorBidi" w:cstheme="majorBidi"/>
          <w:b/>
          <w:bCs/>
          <w:lang w:eastAsia="fr-FR"/>
        </w:rPr>
        <w:t>Fraternite</w:t>
      </w:r>
      <w:proofErr w:type="spellEnd"/>
      <w:r w:rsidRPr="008B182A">
        <w:rPr>
          <w:rFonts w:asciiTheme="majorBidi" w:hAnsiTheme="majorBidi" w:cstheme="majorBidi"/>
          <w:b/>
          <w:bCs/>
          <w:lang w:eastAsia="fr-FR"/>
        </w:rPr>
        <w:t>́-Justice</w:t>
      </w:r>
    </w:p>
    <w:p w:rsidR="00965993" w:rsidRDefault="00965993" w:rsidP="008B182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</w:pPr>
    </w:p>
    <w:p w:rsidR="008B182A" w:rsidRPr="008B182A" w:rsidRDefault="005D75BE" w:rsidP="008B18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Ministère</w:t>
      </w:r>
      <w:r w:rsidR="008B182A"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 xml:space="preserve"> des Affaires Economiques et de la Promotion des Secteurs Productifs (MAEPSP) Direction </w:t>
      </w:r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Générale</w:t>
      </w:r>
      <w:r w:rsidR="008B182A"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 xml:space="preserve"> des Financements et de la </w:t>
      </w:r>
      <w:r w:rsidR="00F937AB"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Coopération</w:t>
      </w:r>
      <w:r w:rsidR="00321F86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 xml:space="preserve"> </w:t>
      </w:r>
      <w:r w:rsidR="008B182A"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 xml:space="preserve">Economique (DGFCE) </w:t>
      </w:r>
    </w:p>
    <w:p w:rsidR="008B182A" w:rsidRPr="008B182A" w:rsidRDefault="008B182A" w:rsidP="005D75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Projet d’Appui à la Gouvernance Economique et la Gestion des Investissements (PA2GI</w:t>
      </w:r>
      <w:proofErr w:type="gramStart"/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)</w:t>
      </w:r>
      <w:proofErr w:type="gramEnd"/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br/>
      </w:r>
      <w:r w:rsidR="005D75BE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Ré</w:t>
      </w:r>
      <w:r w:rsidR="005D75BE"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fé</w:t>
      </w:r>
      <w:r w:rsidR="005D75BE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r</w:t>
      </w:r>
      <w:r w:rsidR="005D75BE"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>ence</w:t>
      </w:r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 xml:space="preserve"> de l’Accord de DON : N° 2100155041017</w:t>
      </w:r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br/>
        <w:t xml:space="preserve">N° d’Identification du Projet : P-MR-KF0-003 </w:t>
      </w:r>
    </w:p>
    <w:p w:rsidR="008B182A" w:rsidRPr="008B182A" w:rsidRDefault="008B182A" w:rsidP="008B18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TimesNewRomanPS" w:eastAsia="Times New Roman" w:hAnsi="TimesNewRomanPS" w:cs="Times New Roman"/>
          <w:b/>
          <w:bCs/>
          <w:sz w:val="22"/>
          <w:szCs w:val="22"/>
          <w:lang w:eastAsia="fr-FR"/>
        </w:rPr>
        <w:t xml:space="preserve">AVIS A MANIFESTATION D’INTERET POUR SERVICE DE CONSULTANT </w:t>
      </w:r>
    </w:p>
    <w:p w:rsidR="008B182A" w:rsidRDefault="008B182A" w:rsidP="00F4356B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lang w:eastAsia="fr-FR"/>
        </w:rPr>
      </w:pPr>
      <w:r w:rsidRPr="008B182A">
        <w:rPr>
          <w:rFonts w:ascii="TimesNewRomanPS" w:eastAsia="Times New Roman" w:hAnsi="TimesNewRomanPS" w:cs="Times New Roman"/>
          <w:b/>
          <w:bCs/>
          <w:lang w:eastAsia="fr-FR"/>
        </w:rPr>
        <w:t xml:space="preserve">Mission pour le recrutement d’un </w:t>
      </w:r>
      <w:r w:rsidR="00F4356B">
        <w:rPr>
          <w:rFonts w:ascii="TimesNewRomanPS" w:eastAsia="Times New Roman" w:hAnsi="TimesNewRomanPS" w:cs="Times New Roman"/>
          <w:b/>
          <w:bCs/>
          <w:lang w:eastAsia="fr-FR"/>
        </w:rPr>
        <w:t>cabinet de consultants</w:t>
      </w:r>
      <w:r w:rsidR="00BA04B3">
        <w:rPr>
          <w:rFonts w:ascii="TimesNewRomanPS" w:eastAsia="Times New Roman" w:hAnsi="TimesNewRomanPS" w:cs="Times New Roman"/>
          <w:b/>
          <w:bCs/>
          <w:lang w:eastAsia="fr-FR"/>
        </w:rPr>
        <w:t xml:space="preserve"> </w:t>
      </w:r>
      <w:r w:rsidRPr="008B182A">
        <w:rPr>
          <w:rFonts w:ascii="TimesNewRomanPS" w:eastAsia="Times New Roman" w:hAnsi="TimesNewRomanPS" w:cs="Times New Roman"/>
          <w:b/>
          <w:bCs/>
          <w:lang w:eastAsia="fr-FR"/>
        </w:rPr>
        <w:t xml:space="preserve">pour </w:t>
      </w:r>
      <w:r w:rsidRPr="008B182A">
        <w:rPr>
          <w:rFonts w:asciiTheme="majorBidi" w:hAnsiTheme="majorBidi" w:cstheme="majorBidi"/>
          <w:b/>
        </w:rPr>
        <w:t xml:space="preserve">l’élaboration d’une </w:t>
      </w:r>
      <w:r w:rsidRPr="008B182A">
        <w:rPr>
          <w:rFonts w:asciiTheme="majorBidi" w:hAnsiTheme="majorBidi" w:cstheme="majorBidi"/>
          <w:b/>
          <w:bCs/>
        </w:rPr>
        <w:t>é</w:t>
      </w:r>
      <w:r w:rsidRPr="008B182A">
        <w:rPr>
          <w:rFonts w:asciiTheme="majorBidi" w:eastAsia="Times New Roman" w:hAnsiTheme="majorBidi" w:cstheme="majorBidi"/>
          <w:b/>
          <w:bCs/>
          <w:lang w:eastAsia="fr-FR"/>
        </w:rPr>
        <w:t>tude générale sur la chaîne de l'investissement public en Mauritanie</w:t>
      </w:r>
      <w:r>
        <w:rPr>
          <w:rFonts w:asciiTheme="majorBidi" w:eastAsia="Times New Roman" w:hAnsiTheme="majorBidi" w:cstheme="majorBidi"/>
          <w:b/>
          <w:bCs/>
          <w:lang w:eastAsia="fr-FR"/>
        </w:rPr>
        <w:t>.</w:t>
      </w:r>
    </w:p>
    <w:p w:rsidR="008B182A" w:rsidRPr="008B182A" w:rsidRDefault="008B182A" w:rsidP="005D75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TimesNewRomanPSMT" w:eastAsia="Times New Roman" w:hAnsi="TimesNewRomanPSMT" w:cs="TimesNewRomanPSMT"/>
          <w:lang w:eastAsia="fr-FR"/>
        </w:rPr>
        <w:t xml:space="preserve">Le gouvernement de la </w:t>
      </w:r>
      <w:r w:rsidR="005D75BE" w:rsidRPr="008B182A">
        <w:rPr>
          <w:rFonts w:ascii="TimesNewRomanPSMT" w:eastAsia="Times New Roman" w:hAnsi="TimesNewRomanPSMT" w:cs="TimesNewRomanPSMT"/>
          <w:lang w:eastAsia="fr-FR"/>
        </w:rPr>
        <w:t>République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 Islamique de Mauritanie a obtenu un don du Fonds Africain de </w:t>
      </w:r>
      <w:r w:rsidR="005D75BE" w:rsidRPr="008B182A">
        <w:rPr>
          <w:rFonts w:ascii="TimesNewRomanPSMT" w:eastAsia="Times New Roman" w:hAnsi="TimesNewRomanPSMT" w:cs="TimesNewRomanPSMT"/>
          <w:lang w:eastAsia="fr-FR"/>
        </w:rPr>
        <w:t>Développement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 (FAD) pour contribuer au financement du Projet d’appui à la gouvernance </w:t>
      </w:r>
      <w:r w:rsidR="005D75BE" w:rsidRPr="008B182A">
        <w:rPr>
          <w:rFonts w:ascii="TimesNewRomanPSMT" w:eastAsia="Times New Roman" w:hAnsi="TimesNewRomanPSMT" w:cs="TimesNewRomanPSMT"/>
          <w:lang w:eastAsia="fr-FR"/>
        </w:rPr>
        <w:t>économique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 et à la gestion des investissements (PA2GI) et a l’intention d’utiliser une partie des sommes </w:t>
      </w:r>
      <w:r w:rsidR="005D75BE" w:rsidRPr="008B182A">
        <w:rPr>
          <w:rFonts w:ascii="TimesNewRomanPSMT" w:eastAsia="Times New Roman" w:hAnsi="TimesNewRomanPSMT" w:cs="TimesNewRomanPSMT"/>
          <w:lang w:eastAsia="fr-FR"/>
        </w:rPr>
        <w:t>accordées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 au titre du </w:t>
      </w:r>
      <w:r w:rsidR="005D75BE">
        <w:rPr>
          <w:rFonts w:ascii="TimesNewRomanPSMT" w:eastAsia="Times New Roman" w:hAnsi="TimesNewRomanPSMT" w:cs="TimesNewRomanPSMT"/>
          <w:lang w:eastAsia="fr-FR"/>
        </w:rPr>
        <w:t>Don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 pour financer le recrutement d’un consultant chargé de </w:t>
      </w:r>
      <w:r w:rsidRPr="008B182A">
        <w:rPr>
          <w:rFonts w:asciiTheme="majorBidi" w:hAnsiTheme="majorBidi" w:cstheme="majorBidi"/>
          <w:bCs/>
        </w:rPr>
        <w:t>l’élaboration d’une é</w:t>
      </w:r>
      <w:r w:rsidRPr="008B182A">
        <w:rPr>
          <w:rFonts w:asciiTheme="majorBidi" w:eastAsia="Times New Roman" w:hAnsiTheme="majorBidi" w:cstheme="majorBidi"/>
          <w:bCs/>
          <w:lang w:eastAsia="fr-FR"/>
        </w:rPr>
        <w:t>tude générale sur la chaîne de l'investissement public en Mauritanie.</w:t>
      </w:r>
    </w:p>
    <w:p w:rsidR="008B182A" w:rsidRPr="008B182A" w:rsidRDefault="008B182A" w:rsidP="008B18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BookmanOldStyle" w:eastAsia="Times New Roman" w:hAnsi="BookmanOldStyle" w:cs="Times New Roman"/>
          <w:b/>
          <w:bCs/>
          <w:sz w:val="22"/>
          <w:szCs w:val="22"/>
          <w:lang w:eastAsia="fr-FR"/>
        </w:rPr>
        <w:t xml:space="preserve">1. Mission du consultant </w:t>
      </w:r>
    </w:p>
    <w:p w:rsidR="008B182A" w:rsidRPr="00CF5223" w:rsidRDefault="008B182A" w:rsidP="008B182A">
      <w:pPr>
        <w:pStyle w:val="Paragraphedeliste"/>
        <w:numPr>
          <w:ilvl w:val="0"/>
          <w:numId w:val="2"/>
        </w:numPr>
        <w:spacing w:after="215"/>
        <w:ind w:right="0"/>
        <w:rPr>
          <w:rFonts w:asciiTheme="majorBidi" w:hAnsiTheme="majorBidi" w:cstheme="majorBidi"/>
          <w:color w:val="000000" w:themeColor="text1"/>
          <w:szCs w:val="24"/>
        </w:rPr>
      </w:pPr>
      <w:r w:rsidRPr="0011659E">
        <w:rPr>
          <w:rFonts w:asciiTheme="majorBidi" w:hAnsiTheme="majorBidi" w:cstheme="majorBidi"/>
          <w:color w:val="000000" w:themeColor="text1"/>
          <w:szCs w:val="24"/>
        </w:rPr>
        <w:t>Sous la supervision de la Direction Générale des Financements et de la Coopération Économique</w:t>
      </w:r>
      <w:r w:rsidR="005D75BE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B182A">
        <w:rPr>
          <w:rFonts w:asciiTheme="majorBidi" w:hAnsiTheme="majorBidi" w:cstheme="majorBidi"/>
          <w:color w:val="000000" w:themeColor="text1"/>
        </w:rPr>
        <w:t xml:space="preserve">(DGFCE) et particulièrement la Direction de la Supervision des Projets, le Cabinet  de consultants </w:t>
      </w:r>
      <w:r>
        <w:rPr>
          <w:rFonts w:asciiTheme="majorBidi" w:hAnsiTheme="majorBidi" w:cstheme="majorBidi"/>
          <w:color w:val="000000" w:themeColor="text1"/>
        </w:rPr>
        <w:t>sera chargé de l’</w:t>
      </w:r>
      <w:r w:rsidRPr="008B182A">
        <w:rPr>
          <w:rFonts w:asciiTheme="majorBidi" w:hAnsiTheme="majorBidi" w:cstheme="majorBidi"/>
          <w:color w:val="000000" w:themeColor="text1"/>
        </w:rPr>
        <w:t>étude en vue </w:t>
      </w:r>
      <w:r w:rsidRPr="00CF5223">
        <w:rPr>
          <w:rFonts w:asciiTheme="majorBidi" w:hAnsiTheme="majorBidi" w:cstheme="majorBidi"/>
          <w:color w:val="000000" w:themeColor="text1"/>
          <w:szCs w:val="24"/>
        </w:rPr>
        <w:t xml:space="preserve">:       </w:t>
      </w:r>
    </w:p>
    <w:p w:rsidR="008B182A" w:rsidRPr="00CF5223" w:rsidRDefault="008B182A" w:rsidP="008B182A">
      <w:pPr>
        <w:pStyle w:val="Sansinterligne"/>
        <w:ind w:left="1416" w:hanging="1416"/>
        <w:rPr>
          <w:rFonts w:asciiTheme="majorBidi" w:hAnsiTheme="majorBidi" w:cstheme="majorBidi"/>
        </w:rPr>
      </w:pPr>
      <w:r w:rsidRPr="00CF5223">
        <w:rPr>
          <w:rFonts w:asciiTheme="majorBidi" w:hAnsiTheme="majorBidi" w:cstheme="majorBidi"/>
          <w:color w:val="000000" w:themeColor="text1"/>
        </w:rPr>
        <w:t>-</w:t>
      </w:r>
      <w:r w:rsidRPr="00CF5223">
        <w:rPr>
          <w:rFonts w:asciiTheme="majorBidi" w:hAnsiTheme="majorBidi" w:cstheme="majorBidi"/>
          <w:color w:val="000000" w:themeColor="text1"/>
        </w:rPr>
        <w:tab/>
        <w:t>d’</w:t>
      </w:r>
      <w:r w:rsidRPr="00CF5223">
        <w:rPr>
          <w:rFonts w:asciiTheme="majorBidi" w:hAnsiTheme="majorBidi" w:cstheme="majorBidi"/>
        </w:rPr>
        <w:t>identifier les forces et faiblesses du système de gestion de l’investissement p</w:t>
      </w:r>
      <w:bookmarkStart w:id="0" w:name="_GoBack"/>
      <w:bookmarkEnd w:id="0"/>
      <w:r w:rsidRPr="00CF5223">
        <w:rPr>
          <w:rFonts w:asciiTheme="majorBidi" w:hAnsiTheme="majorBidi" w:cstheme="majorBidi"/>
        </w:rPr>
        <w:t>ublic en Mauritanie ;</w:t>
      </w:r>
    </w:p>
    <w:p w:rsidR="008B182A" w:rsidRPr="00CF5223" w:rsidRDefault="008B182A" w:rsidP="008B182A">
      <w:pPr>
        <w:pStyle w:val="Sansinterligne"/>
        <w:ind w:left="1416" w:hanging="1416"/>
        <w:rPr>
          <w:rFonts w:asciiTheme="majorBidi" w:hAnsiTheme="majorBidi" w:cstheme="majorBidi"/>
        </w:rPr>
      </w:pPr>
      <w:r w:rsidRPr="00CF5223">
        <w:rPr>
          <w:rFonts w:asciiTheme="majorBidi" w:hAnsiTheme="majorBidi" w:cstheme="majorBidi"/>
          <w:color w:val="000000" w:themeColor="text1"/>
        </w:rPr>
        <w:t>-</w:t>
      </w:r>
      <w:r w:rsidRPr="00CF5223">
        <w:rPr>
          <w:rFonts w:asciiTheme="majorBidi" w:hAnsiTheme="majorBidi" w:cstheme="majorBidi"/>
        </w:rPr>
        <w:tab/>
        <w:t xml:space="preserve">de produire des </w:t>
      </w:r>
      <w:r w:rsidR="005D75BE" w:rsidRPr="00CF5223">
        <w:rPr>
          <w:rFonts w:asciiTheme="majorBidi" w:hAnsiTheme="majorBidi" w:cstheme="majorBidi"/>
        </w:rPr>
        <w:t>données</w:t>
      </w:r>
      <w:r w:rsidRPr="00CF5223">
        <w:rPr>
          <w:rFonts w:asciiTheme="majorBidi" w:hAnsiTheme="majorBidi" w:cstheme="majorBidi"/>
        </w:rPr>
        <w:t xml:space="preserve"> fiables pour éclairer les </w:t>
      </w:r>
      <w:r w:rsidR="005D75BE" w:rsidRPr="00CF5223">
        <w:rPr>
          <w:rFonts w:asciiTheme="majorBidi" w:hAnsiTheme="majorBidi" w:cstheme="majorBidi"/>
        </w:rPr>
        <w:t>réformes</w:t>
      </w:r>
      <w:r w:rsidRPr="00CF5223">
        <w:rPr>
          <w:rFonts w:asciiTheme="majorBidi" w:hAnsiTheme="majorBidi" w:cstheme="majorBidi"/>
        </w:rPr>
        <w:t xml:space="preserve"> à venir ; et </w:t>
      </w:r>
    </w:p>
    <w:p w:rsidR="008B182A" w:rsidRPr="00CF5223" w:rsidRDefault="008B182A" w:rsidP="008B182A">
      <w:pPr>
        <w:pStyle w:val="Sansinterligne"/>
        <w:ind w:left="1416" w:hanging="1416"/>
        <w:rPr>
          <w:rFonts w:asciiTheme="majorBidi" w:hAnsiTheme="majorBidi" w:cstheme="majorBidi"/>
        </w:rPr>
      </w:pPr>
      <w:r w:rsidRPr="00CF5223">
        <w:rPr>
          <w:rFonts w:asciiTheme="majorBidi" w:hAnsiTheme="majorBidi" w:cstheme="majorBidi"/>
          <w:color w:val="000000" w:themeColor="text1"/>
        </w:rPr>
        <w:t>-</w:t>
      </w:r>
      <w:r w:rsidRPr="00CF5223">
        <w:rPr>
          <w:rFonts w:asciiTheme="majorBidi" w:hAnsiTheme="majorBidi" w:cstheme="majorBidi"/>
          <w:color w:val="000000" w:themeColor="text1"/>
        </w:rPr>
        <w:tab/>
        <w:t xml:space="preserve">de formuler des recommandations en vue </w:t>
      </w:r>
      <w:r w:rsidRPr="00CF5223">
        <w:rPr>
          <w:rFonts w:asciiTheme="majorBidi" w:hAnsiTheme="majorBidi" w:cstheme="majorBidi"/>
        </w:rPr>
        <w:t xml:space="preserve">d'améliorer l'exécution de l'investissement public. </w:t>
      </w:r>
    </w:p>
    <w:p w:rsidR="008B182A" w:rsidRPr="008B182A" w:rsidRDefault="008B182A" w:rsidP="008B18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TimesNewRomanPSMT" w:eastAsia="Times New Roman" w:hAnsi="TimesNewRomanPSMT" w:cs="TimesNewRomanPSMT"/>
          <w:lang w:eastAsia="fr-FR"/>
        </w:rPr>
        <w:t xml:space="preserve">Plus </w:t>
      </w:r>
      <w:r w:rsidR="005D75BE" w:rsidRPr="008B182A">
        <w:rPr>
          <w:rFonts w:ascii="TimesNewRomanPSMT" w:eastAsia="Times New Roman" w:hAnsi="TimesNewRomanPSMT" w:cs="TimesNewRomanPSMT"/>
          <w:lang w:eastAsia="fr-FR"/>
        </w:rPr>
        <w:t>spécifiquement</w:t>
      </w:r>
      <w:r w:rsidRPr="008B182A">
        <w:rPr>
          <w:rFonts w:ascii="TimesNewRomanPSMT" w:eastAsia="Times New Roman" w:hAnsi="TimesNewRomanPSMT" w:cs="TimesNewRomanPSMT"/>
          <w:lang w:eastAsia="fr-FR"/>
        </w:rPr>
        <w:t>, sous la supervision directe du coordonnateur du projet, le consultant retenu aur</w:t>
      </w:r>
      <w:r w:rsidRPr="008B182A">
        <w:rPr>
          <w:rFonts w:ascii="TimesNewRomanPSMT" w:eastAsia="Times New Roman" w:hAnsi="TimesNewRomanPSMT" w:cs="TimesNewRomanPSMT"/>
          <w:sz w:val="22"/>
          <w:szCs w:val="22"/>
          <w:lang w:eastAsia="fr-FR"/>
        </w:rPr>
        <w:t xml:space="preserve">a 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à accomplir les </w:t>
      </w:r>
      <w:r w:rsidR="005D75BE" w:rsidRPr="008B182A">
        <w:rPr>
          <w:rFonts w:ascii="TimesNewRomanPSMT" w:eastAsia="Times New Roman" w:hAnsi="TimesNewRomanPSMT" w:cs="TimesNewRomanPSMT"/>
          <w:lang w:eastAsia="fr-FR"/>
        </w:rPr>
        <w:t>tâches</w:t>
      </w:r>
      <w:r w:rsidRPr="008B182A">
        <w:rPr>
          <w:rFonts w:ascii="TimesNewRomanPSMT" w:eastAsia="Times New Roman" w:hAnsi="TimesNewRomanPSMT" w:cs="TimesNewRomanPSMT"/>
          <w:lang w:eastAsia="fr-FR"/>
        </w:rPr>
        <w:t xml:space="preserve"> suivantes : </w:t>
      </w:r>
    </w:p>
    <w:p w:rsidR="008B182A" w:rsidRPr="008650CE" w:rsidRDefault="008B182A" w:rsidP="008650CE">
      <w:pPr>
        <w:pStyle w:val="Paragraphedeliste"/>
        <w:numPr>
          <w:ilvl w:val="0"/>
          <w:numId w:val="6"/>
        </w:numPr>
        <w:spacing w:after="215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8650CE">
        <w:rPr>
          <w:b/>
          <w:bCs/>
        </w:rPr>
        <w:t xml:space="preserve">Production de </w:t>
      </w:r>
      <w:r w:rsidR="005D75BE" w:rsidRPr="008650CE">
        <w:rPr>
          <w:b/>
          <w:bCs/>
        </w:rPr>
        <w:t>données</w:t>
      </w:r>
      <w:r w:rsidRPr="008650CE">
        <w:rPr>
          <w:b/>
          <w:bCs/>
        </w:rPr>
        <w:t xml:space="preserve"> fiables pour éclairer les </w:t>
      </w:r>
      <w:r w:rsidR="005D75BE" w:rsidRPr="008650CE">
        <w:rPr>
          <w:b/>
          <w:bCs/>
        </w:rPr>
        <w:t>réformes</w:t>
      </w:r>
      <w:r w:rsidRPr="008650CE">
        <w:rPr>
          <w:b/>
          <w:bCs/>
        </w:rPr>
        <w:t xml:space="preserve"> à venir </w:t>
      </w:r>
    </w:p>
    <w:p w:rsidR="008B182A" w:rsidRPr="00A115C5" w:rsidRDefault="008B182A" w:rsidP="008B182A">
      <w:pPr>
        <w:pStyle w:val="Paragraphedeliste"/>
        <w:spacing w:after="215"/>
        <w:ind w:right="0" w:firstLine="0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8B182A" w:rsidRDefault="008B182A" w:rsidP="008B182A">
      <w:pPr>
        <w:pStyle w:val="Paragraphedeliste"/>
        <w:spacing w:after="215"/>
        <w:ind w:left="350" w:right="0" w:firstLine="0"/>
      </w:pPr>
      <w:r>
        <w:t>Il s’agit de :</w:t>
      </w:r>
    </w:p>
    <w:p w:rsidR="008650CE" w:rsidRPr="008650CE" w:rsidRDefault="008B182A" w:rsidP="008650CE">
      <w:pPr>
        <w:pStyle w:val="Paragraphedeliste"/>
        <w:numPr>
          <w:ilvl w:val="0"/>
          <w:numId w:val="5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>
        <w:t>déterminer quantitativement les délais pour  les procédures de passation des marchés ;</w:t>
      </w:r>
    </w:p>
    <w:p w:rsidR="008650CE" w:rsidRPr="008650CE" w:rsidRDefault="008B182A" w:rsidP="008650CE">
      <w:pPr>
        <w:pStyle w:val="Paragraphedeliste"/>
        <w:numPr>
          <w:ilvl w:val="0"/>
          <w:numId w:val="5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 w:rsidRPr="008650CE">
        <w:t>indiquer le niveau d’accès du public aux informations sur les marchés publics attribués ;</w:t>
      </w:r>
    </w:p>
    <w:p w:rsidR="008650CE" w:rsidRPr="008650CE" w:rsidRDefault="008B182A" w:rsidP="008650CE">
      <w:pPr>
        <w:pStyle w:val="Paragraphedeliste"/>
        <w:numPr>
          <w:ilvl w:val="0"/>
          <w:numId w:val="5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 w:rsidRPr="008650CE">
        <w:t xml:space="preserve">déterminer les délais de paiement des dépenses relatives </w:t>
      </w:r>
      <w:r w:rsidR="005D75BE" w:rsidRPr="008650CE">
        <w:t>aux investissements</w:t>
      </w:r>
      <w:r w:rsidRPr="008650CE">
        <w:t xml:space="preserve"> publics</w:t>
      </w:r>
      <w:r w:rsidR="008650CE">
        <w:t> ;</w:t>
      </w:r>
      <w:r w:rsidRPr="008650CE">
        <w:t> </w:t>
      </w:r>
    </w:p>
    <w:p w:rsidR="008650CE" w:rsidRPr="008650CE" w:rsidRDefault="008B182A" w:rsidP="008650CE">
      <w:pPr>
        <w:pStyle w:val="Paragraphedeliste"/>
        <w:numPr>
          <w:ilvl w:val="0"/>
          <w:numId w:val="5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>
        <w:t xml:space="preserve">identifier </w:t>
      </w:r>
      <w:r w:rsidRPr="00624108">
        <w:t>les données disponibles sur les arriérés de dépenses d’investissements</w:t>
      </w:r>
      <w:r>
        <w:t> ;</w:t>
      </w:r>
    </w:p>
    <w:p w:rsidR="008650CE" w:rsidRPr="008650CE" w:rsidRDefault="008B182A" w:rsidP="008650CE">
      <w:pPr>
        <w:pStyle w:val="Paragraphedeliste"/>
        <w:numPr>
          <w:ilvl w:val="0"/>
          <w:numId w:val="5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 w:rsidRPr="008650CE">
        <w:rPr>
          <w:rFonts w:asciiTheme="majorBidi" w:hAnsiTheme="majorBidi" w:cstheme="majorBidi"/>
          <w:color w:val="000000" w:themeColor="text1"/>
        </w:rPr>
        <w:t>déterminer les écarts entre les délais effectifs et les délais réglementaires ;</w:t>
      </w:r>
    </w:p>
    <w:p w:rsidR="008B182A" w:rsidRPr="008650CE" w:rsidRDefault="008B182A" w:rsidP="008650CE">
      <w:pPr>
        <w:pStyle w:val="Paragraphedeliste"/>
        <w:numPr>
          <w:ilvl w:val="0"/>
          <w:numId w:val="5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 w:rsidRPr="008650CE">
        <w:rPr>
          <w:rFonts w:asciiTheme="majorBidi" w:hAnsiTheme="majorBidi" w:cstheme="majorBidi"/>
          <w:color w:val="000000" w:themeColor="text1"/>
        </w:rPr>
        <w:t xml:space="preserve">fournir le nombre et les montants relatifs aux projets non-performants sur la base de critères à définir. </w:t>
      </w:r>
    </w:p>
    <w:p w:rsidR="008B182A" w:rsidRPr="00A115C5" w:rsidRDefault="008B182A" w:rsidP="008B182A">
      <w:pPr>
        <w:pStyle w:val="Paragraphedeliste"/>
        <w:ind w:left="1440" w:firstLine="0"/>
        <w:rPr>
          <w:rFonts w:asciiTheme="majorBidi" w:hAnsiTheme="majorBidi" w:cstheme="majorBidi"/>
          <w:color w:val="000000" w:themeColor="text1"/>
          <w:szCs w:val="24"/>
        </w:rPr>
      </w:pPr>
    </w:p>
    <w:p w:rsidR="008B182A" w:rsidRPr="008650CE" w:rsidRDefault="008B182A" w:rsidP="008650CE">
      <w:pPr>
        <w:pStyle w:val="Paragraphedeliste"/>
        <w:numPr>
          <w:ilvl w:val="0"/>
          <w:numId w:val="6"/>
        </w:numPr>
        <w:spacing w:after="215"/>
        <w:rPr>
          <w:rFonts w:asciiTheme="majorBidi" w:hAnsiTheme="majorBidi" w:cstheme="majorBidi"/>
          <w:color w:val="000000" w:themeColor="text1"/>
          <w:szCs w:val="24"/>
        </w:rPr>
      </w:pPr>
      <w:r w:rsidRPr="008650C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Identification des forces et </w:t>
      </w:r>
      <w:r w:rsidRPr="008650CE">
        <w:rPr>
          <w:b/>
          <w:bCs/>
        </w:rPr>
        <w:t>faiblesses du système de gestion de l’investissement public</w:t>
      </w:r>
    </w:p>
    <w:p w:rsidR="008B182A" w:rsidRPr="00624108" w:rsidRDefault="008B182A" w:rsidP="008B182A">
      <w:pPr>
        <w:pStyle w:val="Paragraphedeliste"/>
        <w:spacing w:after="215"/>
        <w:ind w:right="0" w:firstLine="0"/>
        <w:rPr>
          <w:rFonts w:asciiTheme="majorBidi" w:hAnsiTheme="majorBidi" w:cstheme="majorBidi"/>
          <w:color w:val="000000" w:themeColor="text1"/>
          <w:szCs w:val="24"/>
        </w:rPr>
      </w:pPr>
    </w:p>
    <w:p w:rsidR="008B182A" w:rsidRPr="008650CE" w:rsidRDefault="008B182A" w:rsidP="008650CE">
      <w:pPr>
        <w:spacing w:after="215"/>
        <w:ind w:left="-10" w:firstLine="370"/>
        <w:rPr>
          <w:rFonts w:asciiTheme="majorBidi" w:hAnsiTheme="majorBidi" w:cstheme="majorBidi"/>
          <w:color w:val="000000" w:themeColor="text1"/>
        </w:rPr>
      </w:pPr>
      <w:r>
        <w:t xml:space="preserve">Il </w:t>
      </w:r>
      <w:r w:rsidRPr="008650CE">
        <w:rPr>
          <w:rFonts w:asciiTheme="majorBidi" w:hAnsiTheme="majorBidi" w:cstheme="majorBidi"/>
          <w:color w:val="000000" w:themeColor="text1"/>
        </w:rPr>
        <w:t>s’</w:t>
      </w:r>
      <w:r>
        <w:t xml:space="preserve">agit de </w:t>
      </w:r>
      <w:r w:rsidRPr="00965993">
        <w:rPr>
          <w:rFonts w:asciiTheme="majorBidi" w:hAnsiTheme="majorBidi" w:cstheme="majorBidi"/>
        </w:rPr>
        <w:t>procéder à une analyse critique des processus</w:t>
      </w:r>
      <w:r>
        <w:t xml:space="preserve"> :</w:t>
      </w:r>
    </w:p>
    <w:p w:rsidR="008650CE" w:rsidRDefault="008B182A" w:rsidP="008650CE">
      <w:pPr>
        <w:pStyle w:val="Paragraphedeliste"/>
        <w:numPr>
          <w:ilvl w:val="0"/>
          <w:numId w:val="7"/>
        </w:numPr>
        <w:spacing w:after="215"/>
        <w:rPr>
          <w:rFonts w:asciiTheme="majorBidi" w:hAnsiTheme="majorBidi" w:cstheme="majorBidi"/>
          <w:color w:val="000000" w:themeColor="text1"/>
        </w:rPr>
      </w:pPr>
      <w:r w:rsidRPr="008650CE">
        <w:rPr>
          <w:rFonts w:asciiTheme="majorBidi" w:hAnsiTheme="majorBidi" w:cstheme="majorBidi"/>
          <w:color w:val="000000" w:themeColor="text1"/>
        </w:rPr>
        <w:t>d’identification pour bâtir les pipelines de projets ;</w:t>
      </w:r>
    </w:p>
    <w:p w:rsidR="008650CE" w:rsidRPr="008650CE" w:rsidRDefault="008B182A" w:rsidP="008650CE">
      <w:pPr>
        <w:pStyle w:val="Paragraphedeliste"/>
        <w:numPr>
          <w:ilvl w:val="0"/>
          <w:numId w:val="7"/>
        </w:numPr>
        <w:spacing w:after="215"/>
        <w:rPr>
          <w:rFonts w:asciiTheme="majorBidi" w:hAnsiTheme="majorBidi" w:cstheme="majorBidi"/>
          <w:color w:val="000000" w:themeColor="text1"/>
        </w:rPr>
      </w:pPr>
      <w:r>
        <w:t>de formulation pour déterminer la rentabilité des projets et leur orientation vers les résultats ;</w:t>
      </w:r>
    </w:p>
    <w:p w:rsidR="006348E6" w:rsidRPr="006348E6" w:rsidRDefault="008B182A" w:rsidP="006348E6">
      <w:pPr>
        <w:pStyle w:val="Paragraphedeliste"/>
        <w:numPr>
          <w:ilvl w:val="0"/>
          <w:numId w:val="7"/>
        </w:numPr>
        <w:spacing w:after="215"/>
        <w:rPr>
          <w:rFonts w:asciiTheme="majorBidi" w:hAnsiTheme="majorBidi" w:cstheme="majorBidi"/>
          <w:color w:val="000000" w:themeColor="text1"/>
        </w:rPr>
      </w:pPr>
      <w:r>
        <w:t>de sélection des projets en fonction des priorités du Gouvernement ;</w:t>
      </w:r>
    </w:p>
    <w:p w:rsidR="008650CE" w:rsidRPr="006348E6" w:rsidRDefault="008B182A" w:rsidP="006348E6">
      <w:pPr>
        <w:pStyle w:val="Paragraphedeliste"/>
        <w:numPr>
          <w:ilvl w:val="0"/>
          <w:numId w:val="7"/>
        </w:numPr>
        <w:spacing w:after="215"/>
        <w:rPr>
          <w:rFonts w:asciiTheme="majorBidi" w:hAnsiTheme="majorBidi" w:cstheme="majorBidi"/>
          <w:color w:val="000000" w:themeColor="text1"/>
        </w:rPr>
      </w:pPr>
      <w:r>
        <w:t>de mise en œuvre pour mener avec efficience et efficacité les activités des projets pour réaliser les extrants attendus</w:t>
      </w:r>
      <w:r w:rsidR="006348E6">
        <w:t>,</w:t>
      </w:r>
      <w:r w:rsidR="005D75BE">
        <w:t xml:space="preserve"> </w:t>
      </w:r>
      <w:r w:rsidR="006348E6">
        <w:t>produire des résultats et induire des impacts sur les populations ;</w:t>
      </w:r>
    </w:p>
    <w:p w:rsidR="008650CE" w:rsidRPr="008650CE" w:rsidRDefault="008B182A" w:rsidP="008650CE">
      <w:pPr>
        <w:pStyle w:val="Paragraphedeliste"/>
        <w:numPr>
          <w:ilvl w:val="0"/>
          <w:numId w:val="7"/>
        </w:numPr>
        <w:spacing w:after="215"/>
        <w:rPr>
          <w:rFonts w:asciiTheme="majorBidi" w:hAnsiTheme="majorBidi" w:cstheme="majorBidi"/>
          <w:color w:val="000000" w:themeColor="text1"/>
        </w:rPr>
      </w:pPr>
      <w:r>
        <w:t>de gestion des actifs non-financiers pour leur enregistrement comptable, ainsi que leur exploitation et  maintenance en vue de permettre l’accès et l’utilisation par les groupes-cibles ;</w:t>
      </w:r>
    </w:p>
    <w:p w:rsidR="008B182A" w:rsidRPr="008650CE" w:rsidRDefault="008B182A" w:rsidP="008650CE">
      <w:pPr>
        <w:pStyle w:val="Paragraphedeliste"/>
        <w:numPr>
          <w:ilvl w:val="0"/>
          <w:numId w:val="7"/>
        </w:numPr>
        <w:spacing w:after="215"/>
        <w:rPr>
          <w:rFonts w:asciiTheme="majorBidi" w:hAnsiTheme="majorBidi" w:cstheme="majorBidi"/>
          <w:color w:val="000000" w:themeColor="text1"/>
        </w:rPr>
      </w:pPr>
      <w:r>
        <w:t>d’évaluation pour apprécier le degré de réussite des projets et tirer des enseignements utiles. </w:t>
      </w:r>
    </w:p>
    <w:p w:rsidR="008B182A" w:rsidRDefault="008B182A" w:rsidP="008650CE">
      <w:pPr>
        <w:pStyle w:val="Sansinterligne"/>
        <w:numPr>
          <w:ilvl w:val="0"/>
          <w:numId w:val="6"/>
        </w:numPr>
        <w:ind w:right="6"/>
        <w:jc w:val="both"/>
        <w:rPr>
          <w:b/>
          <w:bCs/>
        </w:rPr>
      </w:pPr>
      <w:r w:rsidRPr="00624108">
        <w:rPr>
          <w:b/>
          <w:bCs/>
        </w:rPr>
        <w:t xml:space="preserve">Formulation de </w:t>
      </w:r>
      <w:r w:rsidRPr="00624108">
        <w:rPr>
          <w:rFonts w:asciiTheme="majorBidi" w:hAnsiTheme="majorBidi" w:cstheme="majorBidi"/>
          <w:b/>
          <w:bCs/>
          <w:color w:val="000000" w:themeColor="text1"/>
        </w:rPr>
        <w:t xml:space="preserve">recommandations en vue </w:t>
      </w:r>
      <w:r w:rsidRPr="00624108">
        <w:rPr>
          <w:b/>
          <w:bCs/>
        </w:rPr>
        <w:t xml:space="preserve">d'améliorer l'exécution de l'investissement public </w:t>
      </w:r>
    </w:p>
    <w:p w:rsidR="008B182A" w:rsidRPr="00624108" w:rsidRDefault="008B182A" w:rsidP="008B182A">
      <w:pPr>
        <w:pStyle w:val="Sansinterligne"/>
        <w:ind w:left="720"/>
        <w:rPr>
          <w:b/>
          <w:bCs/>
        </w:rPr>
      </w:pPr>
    </w:p>
    <w:p w:rsidR="008B182A" w:rsidRPr="000F2A5A" w:rsidRDefault="008B182A" w:rsidP="000F2A5A">
      <w:pPr>
        <w:pStyle w:val="Paragraphedeliste"/>
        <w:spacing w:after="215"/>
        <w:ind w:left="350" w:right="0" w:firstLine="0"/>
        <w:rPr>
          <w:rFonts w:asciiTheme="majorBidi" w:hAnsiTheme="majorBidi" w:cstheme="majorBidi"/>
          <w:bCs/>
          <w:color w:val="000000" w:themeColor="text1"/>
          <w:szCs w:val="24"/>
        </w:rPr>
      </w:pPr>
      <w:r>
        <w:t>Sur la base des conclusions du diagnostic et analyse élaboré</w:t>
      </w:r>
      <w:r w:rsidR="005D75BE">
        <w:t>e</w:t>
      </w:r>
      <w:r>
        <w:t>s ci-dessus, des recommandations seront formulées en vue de combler les carences identifiées et d’améliorer ainsi les différents maillons de la chaine de gestion des investissements publics en Mauritanie.</w:t>
      </w:r>
    </w:p>
    <w:p w:rsidR="000F2A5A" w:rsidRDefault="008B182A" w:rsidP="005D75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OldStyle" w:eastAsia="Times New Roman" w:hAnsi="BookmanOldStyle" w:cs="Times New Roman"/>
          <w:bCs/>
          <w:sz w:val="22"/>
          <w:szCs w:val="22"/>
          <w:lang w:eastAsia="fr-FR"/>
        </w:rPr>
      </w:pPr>
      <w:r w:rsidRPr="008B182A">
        <w:rPr>
          <w:rFonts w:ascii="TimesNewRomanPSMT" w:eastAsia="Times New Roman" w:hAnsi="TimesNewRomanPSMT" w:cs="TimesNewRomanPSMT"/>
          <w:bCs/>
          <w:lang w:eastAsia="fr-FR"/>
        </w:rPr>
        <w:t>La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Direction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proofErr w:type="spellStart"/>
      <w:r w:rsidRPr="008B182A">
        <w:rPr>
          <w:rFonts w:ascii="TimesNewRomanPSMT" w:eastAsia="Times New Roman" w:hAnsi="TimesNewRomanPSMT" w:cs="TimesNewRomanPSMT"/>
          <w:bCs/>
          <w:lang w:eastAsia="fr-FR"/>
        </w:rPr>
        <w:t>ge</w:t>
      </w:r>
      <w:proofErr w:type="spellEnd"/>
      <w:r w:rsidRPr="008B182A">
        <w:rPr>
          <w:rFonts w:ascii="TimesNewRomanPSMT" w:eastAsia="Times New Roman" w:hAnsi="TimesNewRomanPSMT" w:cs="TimesNewRomanPSMT"/>
          <w:bCs/>
          <w:lang w:eastAsia="fr-FR"/>
        </w:rPr>
        <w:t>́</w:t>
      </w:r>
      <w:proofErr w:type="spellStart"/>
      <w:r w:rsidRPr="008B182A">
        <w:rPr>
          <w:rFonts w:ascii="TimesNewRomanPSMT" w:eastAsia="Times New Roman" w:hAnsi="TimesNewRomanPSMT" w:cs="TimesNewRomanPSMT"/>
          <w:bCs/>
          <w:lang w:eastAsia="fr-FR"/>
        </w:rPr>
        <w:t>nérale</w:t>
      </w:r>
      <w:proofErr w:type="spellEnd"/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des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Financements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et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de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la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Coopération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Economique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(DGFCE)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auprès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du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Ministère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des Affaires Economiques et de la Promotion des Secteurs Productifs (MAEPSP) invite les consultants à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présenter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leur candidature en vue de fournir les services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décrits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ci-dessus. Les consultants intéressés doivent produire les informations sur leur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capacité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́ et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expérience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démontrant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qu’ils sont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qualifiés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pour les prestations (documentation, référence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>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de prestations similaires,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expérience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>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dans des missions comparables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. 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Les consultants peuvent se mettre en association pour augmenter leurs chances de qualification. </w:t>
      </w:r>
    </w:p>
    <w:p w:rsidR="000F2A5A" w:rsidRPr="008B182A" w:rsidRDefault="000F2A5A" w:rsidP="000F2A5A">
      <w:pPr>
        <w:spacing w:before="100" w:beforeAutospacing="1" w:after="100" w:afterAutospacing="1" w:line="120" w:lineRule="auto"/>
        <w:jc w:val="both"/>
        <w:rPr>
          <w:rFonts w:ascii="BookmanOldStyle" w:eastAsia="Times New Roman" w:hAnsi="BookmanOldStyle" w:cs="Times New Roman"/>
          <w:bCs/>
          <w:sz w:val="22"/>
          <w:szCs w:val="22"/>
          <w:lang w:eastAsia="fr-FR"/>
        </w:rPr>
      </w:pPr>
    </w:p>
    <w:p w:rsidR="008B182A" w:rsidRPr="000F2A5A" w:rsidRDefault="008B182A" w:rsidP="000F2A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OldStyle" w:eastAsia="Times New Roman" w:hAnsi="BookmanOldStyle" w:cs="Times New Roman"/>
          <w:bCs/>
          <w:sz w:val="22"/>
          <w:szCs w:val="22"/>
          <w:lang w:eastAsia="fr-FR"/>
        </w:rPr>
      </w:pP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Les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critères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d’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éligibilité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>́, l’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établissement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de la liste restreinte et la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procédure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de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sélection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seront conformes aux dispositions « la Politique de Passation des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marchés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» de la Banque Africaine de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Développement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,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édition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Octobre 2015, disponible sur le site web de la Banque à l’adresse : </w:t>
      </w:r>
      <w:r w:rsidRPr="008B182A">
        <w:rPr>
          <w:rFonts w:ascii="TimesNewRomanPSMT" w:eastAsia="Times New Roman" w:hAnsi="TimesNewRomanPSMT" w:cs="TimesNewRomanPSMT"/>
          <w:bCs/>
          <w:color w:val="0000FF"/>
          <w:lang w:eastAsia="fr-FR"/>
        </w:rPr>
        <w:t>http://www.afdb.org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. Une demande de proposition sera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adressée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aux membres de la liste restreinte et un cabinet ou groupement de cabinets sera retenu suivant la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sélection</w:t>
      </w:r>
      <w:r w:rsidR="005D75BE">
        <w:rPr>
          <w:rFonts w:ascii="TimesNewRomanPSMT" w:eastAsia="Times New Roman" w:hAnsi="TimesNewRomanPSMT" w:cs="TimesNewRomanPSMT"/>
          <w:bCs/>
          <w:lang w:eastAsia="fr-FR"/>
        </w:rPr>
        <w:t xml:space="preserve">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fondée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sur la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qualité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́ et le </w:t>
      </w:r>
      <w:r w:rsidR="005D75BE" w:rsidRPr="008B182A">
        <w:rPr>
          <w:rFonts w:ascii="TimesNewRomanPSMT" w:eastAsia="Times New Roman" w:hAnsi="TimesNewRomanPSMT" w:cs="TimesNewRomanPSMT"/>
          <w:bCs/>
          <w:lang w:eastAsia="fr-FR"/>
        </w:rPr>
        <w:t>coût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(SBQC). </w:t>
      </w:r>
    </w:p>
    <w:p w:rsidR="000F2A5A" w:rsidRPr="008B182A" w:rsidRDefault="000F2A5A" w:rsidP="000F2A5A">
      <w:pPr>
        <w:spacing w:before="100" w:beforeAutospacing="1" w:after="100" w:afterAutospacing="1" w:line="120" w:lineRule="auto"/>
        <w:jc w:val="both"/>
        <w:rPr>
          <w:rFonts w:ascii="BookmanOldStyle" w:eastAsia="Times New Roman" w:hAnsi="BookmanOldStyle" w:cs="Times New Roman"/>
          <w:bCs/>
          <w:sz w:val="22"/>
          <w:szCs w:val="22"/>
          <w:lang w:eastAsia="fr-FR"/>
        </w:rPr>
      </w:pPr>
    </w:p>
    <w:p w:rsidR="008B182A" w:rsidRPr="00357C8D" w:rsidRDefault="008B182A" w:rsidP="000F2A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OldStyle" w:eastAsia="Times New Roman" w:hAnsi="BookmanOldStyle" w:cs="Times New Roman"/>
          <w:b/>
          <w:sz w:val="22"/>
          <w:szCs w:val="22"/>
          <w:lang w:eastAsia="fr-FR"/>
        </w:rPr>
      </w:pP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Les Cabinets peuvent obtenir des informations </w:t>
      </w:r>
      <w:r w:rsidR="00240A38" w:rsidRPr="008B182A">
        <w:rPr>
          <w:rFonts w:ascii="TimesNewRomanPSMT" w:eastAsia="Times New Roman" w:hAnsi="TimesNewRomanPSMT" w:cs="TimesNewRomanPSMT"/>
          <w:bCs/>
          <w:lang w:eastAsia="fr-FR"/>
        </w:rPr>
        <w:t>supplémentaires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à l'adresse </w:t>
      </w:r>
      <w:r w:rsidR="00240A38" w:rsidRPr="008B182A">
        <w:rPr>
          <w:rFonts w:ascii="TimesNewRomanPSMT" w:eastAsia="Times New Roman" w:hAnsi="TimesNewRomanPSMT" w:cs="TimesNewRomanPSMT"/>
          <w:bCs/>
          <w:lang w:eastAsia="fr-FR"/>
        </w:rPr>
        <w:t>mentionnée</w:t>
      </w:r>
      <w:r w:rsidRPr="008B182A">
        <w:rPr>
          <w:rFonts w:ascii="TimesNewRomanPSMT" w:eastAsia="Times New Roman" w:hAnsi="TimesNewRomanPSMT" w:cs="TimesNewRomanPSMT"/>
          <w:bCs/>
          <w:lang w:eastAsia="fr-FR"/>
        </w:rPr>
        <w:t xml:space="preserve"> ci-dessous aux heures d’ouverture de bureaux suivantes : </w:t>
      </w:r>
      <w:r w:rsidRPr="008B182A">
        <w:rPr>
          <w:rFonts w:ascii="TimesNewRomanPS" w:eastAsia="Times New Roman" w:hAnsi="TimesNewRomanPS" w:cs="Times New Roman"/>
          <w:b/>
          <w:lang w:eastAsia="fr-FR"/>
        </w:rPr>
        <w:t xml:space="preserve">PA2GI/DGFCE/ MAEPSP </w:t>
      </w:r>
      <w:r w:rsidRPr="008B182A">
        <w:rPr>
          <w:rFonts w:ascii="TimesNewRomanPS" w:eastAsia="Times New Roman" w:hAnsi="TimesNewRomanPS" w:cs="Times New Roman"/>
          <w:b/>
          <w:lang w:eastAsia="fr-FR"/>
        </w:rPr>
        <w:lastRenderedPageBreak/>
        <w:t>BP : 238 Nouakchott– Mauritanie Tel : 22245243882 – Fax : 22245253335 ou par courriel : msalemnany@gmail.com de 9 à 17 heures du lundi au jeudi et de 8 à12 heures le vendredi</w:t>
      </w:r>
      <w:r w:rsidRPr="008B182A">
        <w:rPr>
          <w:rFonts w:ascii="TimesNewRomanPSMT" w:eastAsia="Times New Roman" w:hAnsi="TimesNewRomanPSMT" w:cs="TimesNewRomanPSMT"/>
          <w:b/>
          <w:lang w:eastAsia="fr-FR"/>
        </w:rPr>
        <w:t xml:space="preserve">. </w:t>
      </w:r>
    </w:p>
    <w:p w:rsidR="000F2A5A" w:rsidRPr="008B182A" w:rsidRDefault="000F2A5A" w:rsidP="000F2A5A">
      <w:pPr>
        <w:spacing w:before="100" w:beforeAutospacing="1" w:after="100" w:afterAutospacing="1"/>
        <w:jc w:val="both"/>
        <w:rPr>
          <w:rFonts w:ascii="BookmanOldStyle" w:eastAsia="Times New Roman" w:hAnsi="BookmanOldStyle" w:cs="Times New Roman"/>
          <w:bCs/>
          <w:sz w:val="22"/>
          <w:szCs w:val="22"/>
          <w:lang w:eastAsia="fr-FR"/>
        </w:rPr>
      </w:pPr>
    </w:p>
    <w:p w:rsidR="008B182A" w:rsidRPr="000F2A5A" w:rsidRDefault="008B182A" w:rsidP="00EA5A02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 w:rsidRPr="000F2A5A">
        <w:rPr>
          <w:rFonts w:ascii="TimesNewRomanPSMT" w:hAnsi="TimesNewRomanPSMT" w:cs="TimesNewRomanPSMT"/>
          <w:bCs/>
        </w:rPr>
        <w:t>Les dossiers d’expressions d'</w:t>
      </w:r>
      <w:proofErr w:type="spellStart"/>
      <w:r w:rsidRPr="000F2A5A">
        <w:rPr>
          <w:rFonts w:ascii="TimesNewRomanPSMT" w:hAnsi="TimesNewRomanPSMT" w:cs="TimesNewRomanPSMT"/>
          <w:bCs/>
        </w:rPr>
        <w:t>inte</w:t>
      </w:r>
      <w:proofErr w:type="spellEnd"/>
      <w:r w:rsidRPr="000F2A5A">
        <w:rPr>
          <w:rFonts w:ascii="TimesNewRomanPSMT" w:hAnsi="TimesNewRomanPSMT" w:cs="TimesNewRomanPSMT"/>
          <w:bCs/>
        </w:rPr>
        <w:t>́</w:t>
      </w:r>
      <w:proofErr w:type="spellStart"/>
      <w:r w:rsidRPr="000F2A5A">
        <w:rPr>
          <w:rFonts w:ascii="TimesNewRomanPSMT" w:hAnsi="TimesNewRomanPSMT" w:cs="TimesNewRomanPSMT"/>
          <w:bCs/>
        </w:rPr>
        <w:t>re</w:t>
      </w:r>
      <w:proofErr w:type="spellEnd"/>
      <w:r w:rsidRPr="000F2A5A">
        <w:rPr>
          <w:rFonts w:ascii="TimesNewRomanPSMT" w:hAnsi="TimesNewRomanPSMT" w:cs="TimesNewRomanPSMT"/>
          <w:bCs/>
        </w:rPr>
        <w:t>̂t</w:t>
      </w:r>
      <w:r w:rsidR="00EA5A02">
        <w:rPr>
          <w:rFonts w:ascii="TimesNewRomanPSMT" w:hAnsi="TimesNewRomanPSMT" w:cs="TimesNewRomanPSMT"/>
          <w:bCs/>
        </w:rPr>
        <w:t>, comprenant une lettre de motivation et les références du cabinet,</w:t>
      </w:r>
      <w:r w:rsidRPr="000F2A5A">
        <w:rPr>
          <w:rFonts w:ascii="TimesNewRomanPSMT" w:hAnsi="TimesNewRomanPSMT" w:cs="TimesNewRomanPSMT"/>
          <w:bCs/>
        </w:rPr>
        <w:t xml:space="preserve"> doivent </w:t>
      </w:r>
      <w:r w:rsidR="00240A38" w:rsidRPr="000F2A5A">
        <w:rPr>
          <w:rFonts w:ascii="TimesNewRomanPSMT" w:hAnsi="TimesNewRomanPSMT" w:cs="TimesNewRomanPSMT"/>
          <w:bCs/>
        </w:rPr>
        <w:t>être</w:t>
      </w:r>
      <w:r w:rsidR="00240A38">
        <w:rPr>
          <w:rFonts w:ascii="TimesNewRomanPSMT" w:hAnsi="TimesNewRomanPSMT" w:cs="TimesNewRomanPSMT"/>
          <w:bCs/>
        </w:rPr>
        <w:t xml:space="preserve"> </w:t>
      </w:r>
      <w:r w:rsidR="00240A38" w:rsidRPr="000F2A5A">
        <w:rPr>
          <w:rFonts w:ascii="TimesNewRomanPSMT" w:hAnsi="TimesNewRomanPSMT" w:cs="TimesNewRomanPSMT"/>
          <w:bCs/>
        </w:rPr>
        <w:t>déposés</w:t>
      </w:r>
      <w:r w:rsidRPr="000F2A5A">
        <w:rPr>
          <w:rFonts w:ascii="TimesNewRomanPSMT" w:hAnsi="TimesNewRomanPSMT" w:cs="TimesNewRomanPSMT"/>
          <w:bCs/>
        </w:rPr>
        <w:t xml:space="preserve"> ou parvenir par courriel à l’adresse ci-dessous au plus tard </w:t>
      </w:r>
      <w:r w:rsidRPr="000F2A5A">
        <w:rPr>
          <w:rFonts w:ascii="TimesNewRomanPS" w:hAnsi="TimesNewRomanPS"/>
          <w:bCs/>
        </w:rPr>
        <w:t xml:space="preserve">le </w:t>
      </w:r>
      <w:r w:rsidR="00EA5A02">
        <w:rPr>
          <w:rFonts w:ascii="TimesNewRomanPS" w:hAnsi="TimesNewRomanPS"/>
          <w:b/>
        </w:rPr>
        <w:t>lundi 09 janvier</w:t>
      </w:r>
      <w:r w:rsidRPr="00357C8D">
        <w:rPr>
          <w:rFonts w:ascii="TimesNewRomanPS" w:hAnsi="TimesNewRomanPS"/>
          <w:b/>
        </w:rPr>
        <w:t xml:space="preserve"> 202</w:t>
      </w:r>
      <w:r w:rsidR="00EA5A02">
        <w:rPr>
          <w:rFonts w:ascii="TimesNewRomanPS" w:hAnsi="TimesNewRomanPS"/>
          <w:b/>
        </w:rPr>
        <w:t>3</w:t>
      </w:r>
      <w:r w:rsidRPr="00357C8D">
        <w:rPr>
          <w:rFonts w:ascii="TimesNewRomanPS" w:hAnsi="TimesNewRomanPS"/>
          <w:b/>
        </w:rPr>
        <w:t xml:space="preserve"> à 15 heures GMT</w:t>
      </w:r>
      <w:r w:rsidR="00240A38">
        <w:rPr>
          <w:rFonts w:ascii="TimesNewRomanPS" w:hAnsi="TimesNewRomanPS"/>
          <w:b/>
        </w:rPr>
        <w:t xml:space="preserve"> </w:t>
      </w:r>
      <w:r w:rsidRPr="000F2A5A">
        <w:rPr>
          <w:rFonts w:ascii="TimesNewRomanPSMT" w:hAnsi="TimesNewRomanPSMT" w:cs="TimesNewRomanPSMT"/>
          <w:bCs/>
        </w:rPr>
        <w:t xml:space="preserve">et porter </w:t>
      </w:r>
      <w:r w:rsidR="00240A38" w:rsidRPr="000F2A5A">
        <w:rPr>
          <w:rFonts w:ascii="TimesNewRomanPSMT" w:hAnsi="TimesNewRomanPSMT" w:cs="TimesNewRomanPSMT"/>
          <w:bCs/>
        </w:rPr>
        <w:t>expressément</w:t>
      </w:r>
      <w:r w:rsidRPr="000F2A5A">
        <w:rPr>
          <w:rFonts w:ascii="TimesNewRomanPSMT" w:hAnsi="TimesNewRomanPSMT" w:cs="TimesNewRomanPSMT"/>
          <w:bCs/>
        </w:rPr>
        <w:t xml:space="preserve"> la mention « </w:t>
      </w:r>
      <w:r w:rsidRPr="00357C8D">
        <w:rPr>
          <w:rFonts w:ascii="TimesNewRomanPS" w:hAnsi="TimesNewRomanPS"/>
          <w:b/>
          <w:sz w:val="22"/>
        </w:rPr>
        <w:t xml:space="preserve">Recrutement d’un cabinet pour </w:t>
      </w:r>
      <w:r w:rsidR="000F2A5A" w:rsidRPr="00357C8D">
        <w:rPr>
          <w:rFonts w:asciiTheme="majorBidi" w:hAnsiTheme="majorBidi" w:cstheme="majorBidi"/>
          <w:b/>
          <w:szCs w:val="24"/>
        </w:rPr>
        <w:t>l’élaboration d’une étude générale sur la chaîne de l'investissement public en Mauritanie</w:t>
      </w:r>
      <w:r w:rsidR="000F2A5A" w:rsidRPr="00357C8D">
        <w:rPr>
          <w:rFonts w:asciiTheme="majorBidi" w:hAnsiTheme="majorBidi" w:cstheme="majorBidi"/>
          <w:b/>
        </w:rPr>
        <w:t> ».</w:t>
      </w:r>
    </w:p>
    <w:p w:rsidR="000F2A5A" w:rsidRPr="003920BB" w:rsidRDefault="000F2A5A" w:rsidP="000F2A5A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8B182A" w:rsidRPr="003920BB" w:rsidRDefault="008B182A" w:rsidP="000659A3">
      <w:pPr>
        <w:pStyle w:val="Sansinterligne"/>
        <w:rPr>
          <w:rFonts w:asciiTheme="majorBidi" w:hAnsiTheme="majorBidi" w:cstheme="majorBidi"/>
          <w:b/>
          <w:bCs/>
          <w:lang w:eastAsia="fr-FR"/>
        </w:rPr>
      </w:pPr>
      <w:r w:rsidRPr="003920BB">
        <w:rPr>
          <w:rFonts w:asciiTheme="majorBidi" w:hAnsiTheme="majorBidi" w:cstheme="majorBidi"/>
          <w:b/>
          <w:bCs/>
          <w:lang w:eastAsia="fr-FR"/>
        </w:rPr>
        <w:t xml:space="preserve">Commission </w:t>
      </w:r>
      <w:r w:rsidR="000659A3">
        <w:rPr>
          <w:rFonts w:asciiTheme="majorBidi" w:hAnsiTheme="majorBidi" w:cstheme="majorBidi"/>
          <w:b/>
          <w:bCs/>
          <w:lang w:eastAsia="fr-FR"/>
        </w:rPr>
        <w:t xml:space="preserve">de Passation </w:t>
      </w:r>
      <w:r w:rsidRPr="003920BB">
        <w:rPr>
          <w:rFonts w:asciiTheme="majorBidi" w:hAnsiTheme="majorBidi" w:cstheme="majorBidi"/>
          <w:b/>
          <w:bCs/>
          <w:lang w:eastAsia="fr-FR"/>
        </w:rPr>
        <w:t xml:space="preserve">des </w:t>
      </w:r>
      <w:r w:rsidR="00240A38" w:rsidRPr="003920BB">
        <w:rPr>
          <w:rFonts w:asciiTheme="majorBidi" w:hAnsiTheme="majorBidi" w:cstheme="majorBidi"/>
          <w:b/>
          <w:bCs/>
          <w:lang w:eastAsia="fr-FR"/>
        </w:rPr>
        <w:t>Marchés</w:t>
      </w:r>
      <w:r w:rsidRPr="003920BB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0659A3">
        <w:rPr>
          <w:rFonts w:asciiTheme="majorBidi" w:hAnsiTheme="majorBidi" w:cstheme="majorBidi"/>
          <w:b/>
          <w:bCs/>
          <w:lang w:eastAsia="fr-FR"/>
        </w:rPr>
        <w:t xml:space="preserve">de l’Economie, des Finances et du Commerce </w:t>
      </w:r>
      <w:r w:rsidRPr="003920BB">
        <w:rPr>
          <w:rFonts w:asciiTheme="majorBidi" w:hAnsiTheme="majorBidi" w:cstheme="majorBidi"/>
          <w:b/>
          <w:bCs/>
          <w:lang w:eastAsia="fr-FR"/>
        </w:rPr>
        <w:t>Ilot V B33 - BP : 5193 Nouakchott, Mauritanie</w:t>
      </w:r>
      <w:r w:rsidRPr="003920BB">
        <w:rPr>
          <w:rFonts w:asciiTheme="majorBidi" w:hAnsiTheme="majorBidi" w:cstheme="majorBidi"/>
          <w:b/>
          <w:bCs/>
          <w:lang w:eastAsia="fr-FR"/>
        </w:rPr>
        <w:br/>
        <w:t xml:space="preserve">Tel : 222 45 29 41 88 - Fax : 222 45 29 73 04 </w:t>
      </w:r>
    </w:p>
    <w:p w:rsidR="008B182A" w:rsidRDefault="008B182A" w:rsidP="003920BB">
      <w:pPr>
        <w:pStyle w:val="Sansinterligne"/>
        <w:rPr>
          <w:rFonts w:ascii="TimesNewRomanPSMT" w:hAnsi="TimesNewRomanPSMT" w:cs="TimesNewRomanPSMT"/>
          <w:color w:val="0000FF"/>
          <w:lang w:eastAsia="fr-FR"/>
        </w:rPr>
      </w:pPr>
      <w:r w:rsidRPr="003920BB">
        <w:rPr>
          <w:rFonts w:asciiTheme="majorBidi" w:hAnsiTheme="majorBidi" w:cstheme="majorBidi"/>
          <w:b/>
          <w:bCs/>
          <w:lang w:eastAsia="fr-FR"/>
        </w:rPr>
        <w:t xml:space="preserve">E-mail : </w:t>
      </w:r>
      <w:hyperlink r:id="rId5" w:history="1">
        <w:r w:rsidR="003920BB" w:rsidRPr="00D6770B">
          <w:rPr>
            <w:rStyle w:val="Lienhypertexte"/>
            <w:rFonts w:asciiTheme="majorBidi" w:hAnsiTheme="majorBidi" w:cstheme="majorBidi"/>
            <w:b/>
            <w:bCs/>
            <w:lang w:eastAsia="fr-FR"/>
          </w:rPr>
          <w:t>cheikhna.mlemine@gmail.com</w:t>
        </w:r>
      </w:hyperlink>
    </w:p>
    <w:p w:rsidR="003920BB" w:rsidRDefault="003920BB" w:rsidP="003920BB">
      <w:pPr>
        <w:pStyle w:val="Sansinterligne"/>
        <w:rPr>
          <w:rFonts w:ascii="Times New Roman" w:hAnsi="Times New Roman"/>
          <w:lang w:eastAsia="fr-FR"/>
        </w:rPr>
      </w:pPr>
    </w:p>
    <w:p w:rsidR="003920BB" w:rsidRPr="008B182A" w:rsidRDefault="003920BB" w:rsidP="003920BB">
      <w:pPr>
        <w:pStyle w:val="Sansinterligne"/>
        <w:rPr>
          <w:rFonts w:ascii="Times New Roman" w:hAnsi="Times New Roman"/>
          <w:lang w:eastAsia="fr-FR"/>
        </w:rPr>
      </w:pPr>
    </w:p>
    <w:p w:rsidR="000F2A5A" w:rsidRDefault="008B182A" w:rsidP="000659A3">
      <w:pPr>
        <w:spacing w:before="100" w:beforeAutospacing="1" w:after="100" w:afterAutospacing="1"/>
        <w:ind w:left="4956" w:firstLine="708"/>
        <w:rPr>
          <w:rFonts w:ascii="TimesNewRomanPS" w:eastAsia="Times New Roman" w:hAnsi="TimesNewRomanPS" w:cs="Times New Roman"/>
          <w:b/>
          <w:bCs/>
          <w:lang w:eastAsia="fr-FR"/>
        </w:rPr>
      </w:pPr>
      <w:r w:rsidRPr="008B182A">
        <w:rPr>
          <w:rFonts w:ascii="TimesNewRomanPS" w:eastAsia="Times New Roman" w:hAnsi="TimesNewRomanPS" w:cs="Times New Roman"/>
          <w:b/>
          <w:bCs/>
          <w:lang w:eastAsia="fr-FR"/>
        </w:rPr>
        <w:t xml:space="preserve">Le Coordonnateur du </w:t>
      </w:r>
      <w:r w:rsidR="000659A3">
        <w:rPr>
          <w:rFonts w:ascii="TimesNewRomanPS" w:eastAsia="Times New Roman" w:hAnsi="TimesNewRomanPS" w:cs="Times New Roman"/>
          <w:b/>
          <w:bCs/>
          <w:lang w:eastAsia="fr-FR"/>
        </w:rPr>
        <w:t>PA2GI</w:t>
      </w:r>
      <w:r w:rsidRPr="008B182A">
        <w:rPr>
          <w:rFonts w:ascii="TimesNewRomanPS" w:eastAsia="Times New Roman" w:hAnsi="TimesNewRomanPS" w:cs="Times New Roman"/>
          <w:b/>
          <w:bCs/>
          <w:lang w:eastAsia="fr-FR"/>
        </w:rPr>
        <w:t xml:space="preserve"> </w:t>
      </w:r>
    </w:p>
    <w:p w:rsidR="008B182A" w:rsidRPr="008B182A" w:rsidRDefault="008B182A" w:rsidP="00357C8D">
      <w:pPr>
        <w:spacing w:before="100" w:beforeAutospacing="1" w:after="100" w:afterAutospacing="1"/>
        <w:ind w:left="5664" w:firstLine="708"/>
        <w:rPr>
          <w:rFonts w:ascii="Times New Roman" w:eastAsia="Times New Roman" w:hAnsi="Times New Roman" w:cs="Times New Roman"/>
          <w:lang w:eastAsia="fr-FR"/>
        </w:rPr>
      </w:pPr>
      <w:r w:rsidRPr="008B182A">
        <w:rPr>
          <w:rFonts w:ascii="TimesNewRomanPS" w:eastAsia="Times New Roman" w:hAnsi="TimesNewRomanPS" w:cs="Times New Roman"/>
          <w:b/>
          <w:bCs/>
          <w:lang w:eastAsia="fr-FR"/>
        </w:rPr>
        <w:t xml:space="preserve">Mohamed Salem NANY </w:t>
      </w:r>
    </w:p>
    <w:p w:rsidR="00F56BAF" w:rsidRDefault="00EA5A02"/>
    <w:sectPr w:rsidR="00F56BAF" w:rsidSect="00164D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0D7"/>
    <w:multiLevelType w:val="hybridMultilevel"/>
    <w:tmpl w:val="246A5766"/>
    <w:lvl w:ilvl="0" w:tplc="CDB655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2176"/>
    <w:multiLevelType w:val="hybridMultilevel"/>
    <w:tmpl w:val="9C1C5A46"/>
    <w:lvl w:ilvl="0" w:tplc="864EE758">
      <w:start w:val="1"/>
      <w:numFmt w:val="decimal"/>
      <w:lvlText w:val="%1."/>
      <w:lvlJc w:val="left"/>
      <w:pPr>
        <w:ind w:left="350" w:hanging="360"/>
      </w:pPr>
      <w:rPr>
        <w:rFonts w:ascii="TimesNewRomanPSMT" w:eastAsia="Times New Roman" w:hAnsi="TimesNewRomanPSMT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70" w:hanging="360"/>
      </w:pPr>
    </w:lvl>
    <w:lvl w:ilvl="2" w:tplc="040C001B" w:tentative="1">
      <w:start w:val="1"/>
      <w:numFmt w:val="lowerRoman"/>
      <w:lvlText w:val="%3."/>
      <w:lvlJc w:val="right"/>
      <w:pPr>
        <w:ind w:left="1790" w:hanging="180"/>
      </w:pPr>
    </w:lvl>
    <w:lvl w:ilvl="3" w:tplc="040C000F" w:tentative="1">
      <w:start w:val="1"/>
      <w:numFmt w:val="decimal"/>
      <w:lvlText w:val="%4."/>
      <w:lvlJc w:val="left"/>
      <w:pPr>
        <w:ind w:left="2510" w:hanging="360"/>
      </w:pPr>
    </w:lvl>
    <w:lvl w:ilvl="4" w:tplc="040C0019" w:tentative="1">
      <w:start w:val="1"/>
      <w:numFmt w:val="lowerLetter"/>
      <w:lvlText w:val="%5."/>
      <w:lvlJc w:val="left"/>
      <w:pPr>
        <w:ind w:left="3230" w:hanging="360"/>
      </w:pPr>
    </w:lvl>
    <w:lvl w:ilvl="5" w:tplc="040C001B" w:tentative="1">
      <w:start w:val="1"/>
      <w:numFmt w:val="lowerRoman"/>
      <w:lvlText w:val="%6."/>
      <w:lvlJc w:val="right"/>
      <w:pPr>
        <w:ind w:left="3950" w:hanging="180"/>
      </w:pPr>
    </w:lvl>
    <w:lvl w:ilvl="6" w:tplc="040C000F" w:tentative="1">
      <w:start w:val="1"/>
      <w:numFmt w:val="decimal"/>
      <w:lvlText w:val="%7."/>
      <w:lvlJc w:val="left"/>
      <w:pPr>
        <w:ind w:left="4670" w:hanging="360"/>
      </w:pPr>
    </w:lvl>
    <w:lvl w:ilvl="7" w:tplc="040C0019" w:tentative="1">
      <w:start w:val="1"/>
      <w:numFmt w:val="lowerLetter"/>
      <w:lvlText w:val="%8."/>
      <w:lvlJc w:val="left"/>
      <w:pPr>
        <w:ind w:left="5390" w:hanging="360"/>
      </w:pPr>
    </w:lvl>
    <w:lvl w:ilvl="8" w:tplc="040C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2D6831AB"/>
    <w:multiLevelType w:val="hybridMultilevel"/>
    <w:tmpl w:val="6D62C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679"/>
    <w:multiLevelType w:val="hybridMultilevel"/>
    <w:tmpl w:val="6484B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4CE6"/>
    <w:multiLevelType w:val="hybridMultilevel"/>
    <w:tmpl w:val="B22A8FBE"/>
    <w:lvl w:ilvl="0" w:tplc="39E2FB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5C50E5"/>
    <w:multiLevelType w:val="hybridMultilevel"/>
    <w:tmpl w:val="F168B0EE"/>
    <w:lvl w:ilvl="0" w:tplc="77BCD3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AA8"/>
    <w:multiLevelType w:val="multilevel"/>
    <w:tmpl w:val="8F866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182A"/>
    <w:rsid w:val="00055E2D"/>
    <w:rsid w:val="000659A3"/>
    <w:rsid w:val="000F2A5A"/>
    <w:rsid w:val="00164D9A"/>
    <w:rsid w:val="001B0A54"/>
    <w:rsid w:val="001F414D"/>
    <w:rsid w:val="00240A38"/>
    <w:rsid w:val="00321F86"/>
    <w:rsid w:val="00357C8D"/>
    <w:rsid w:val="003920BB"/>
    <w:rsid w:val="003E10FC"/>
    <w:rsid w:val="005D75BE"/>
    <w:rsid w:val="006348E6"/>
    <w:rsid w:val="007F6AC1"/>
    <w:rsid w:val="008650CE"/>
    <w:rsid w:val="00892B87"/>
    <w:rsid w:val="008B182A"/>
    <w:rsid w:val="00965993"/>
    <w:rsid w:val="00A4428E"/>
    <w:rsid w:val="00BA04B3"/>
    <w:rsid w:val="00CF5223"/>
    <w:rsid w:val="00D3336A"/>
    <w:rsid w:val="00E9479E"/>
    <w:rsid w:val="00EA5A02"/>
    <w:rsid w:val="00EC377D"/>
    <w:rsid w:val="00F06EAE"/>
    <w:rsid w:val="00F24423"/>
    <w:rsid w:val="00F4356B"/>
    <w:rsid w:val="00F9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8B182A"/>
  </w:style>
  <w:style w:type="paragraph" w:styleId="Paragraphedeliste">
    <w:name w:val="List Paragraph"/>
    <w:aliases w:val="References,Paragraphe  revu,Bullets,Numbered List Paragraph,List Bullet Mary,List Paragraph (numbered (a)),Lapis Bulleted List,Liste 1,List Paragraph nowy,Titre 10,L_4,Paragraphe de liste4,- List tir,liste 1,puce 1,Yalgo corps,lp1,Bo"/>
    <w:basedOn w:val="Normal"/>
    <w:link w:val="ParagraphedelisteCar"/>
    <w:uiPriority w:val="34"/>
    <w:qFormat/>
    <w:rsid w:val="008B182A"/>
    <w:pPr>
      <w:spacing w:after="12" w:line="250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  <w:lang w:eastAsia="fr-FR"/>
    </w:rPr>
  </w:style>
  <w:style w:type="character" w:customStyle="1" w:styleId="ParagraphedelisteCar">
    <w:name w:val="Paragraphe de liste Car"/>
    <w:aliases w:val="References Car,Paragraphe  revu Car,Bullets Car,Numbered List Paragraph Car,List Bullet Mary Car,List Paragraph (numbered (a)) Car,Lapis Bulleted List Car,Liste 1 Car,List Paragraph nowy Car,Titre 10 Car,L_4 Car,- List tir Car"/>
    <w:link w:val="Paragraphedeliste"/>
    <w:uiPriority w:val="34"/>
    <w:qFormat/>
    <w:locked/>
    <w:rsid w:val="008B182A"/>
    <w:rPr>
      <w:rFonts w:ascii="Times New Roman" w:eastAsia="Times New Roman" w:hAnsi="Times New Roman" w:cs="Times New Roman"/>
      <w:color w:val="000000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3920B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20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ikhna.mlem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10</cp:revision>
  <cp:lastPrinted>2022-11-03T09:00:00Z</cp:lastPrinted>
  <dcterms:created xsi:type="dcterms:W3CDTF">2022-10-05T10:28:00Z</dcterms:created>
  <dcterms:modified xsi:type="dcterms:W3CDTF">2022-12-15T20:53:00Z</dcterms:modified>
</cp:coreProperties>
</file>